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215/2020 vom 8. Mai 2020</w:t>
      </w:r>
    </w:p>
    <w:p>
      <w:r>
        <w:t>Bundesgericht, 2020-05-08, DE</w:t>
      </w:r>
    </w:p>
    <w:p>
      <w:r>
        <w:rPr>
          <w:b/>
        </w:rPr>
        <w:t xml:space="preserve">Quelle: </w:t>
      </w:r>
      <w:r>
        <w:t>https://mcp.opencaselaw.ch/entscheid/bger_1B_215_2020</w:t>
      </w:r>
    </w:p>
    <w:p>
      <w:r>
        <w:t>FR: TF 1B 215/2020 du 8 mai 2020</w:t>
      </w:r>
    </w:p>
    <w:p>
      <w:r>
        <w:t>IT: TF 1B 215/2020 del 8 maggio 2020</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Limmattal/Albis vom 2. März 2020 Beschwerde. Die III. Strafkammer des Obergerichts des Kantons Zürich forderte A.________ mit Verfügung vom 29. April 2020 auf, innert 60 Tagen eine Prozesskaution im Sinne von Art. 383 StPO von Fr. 1'500.-- zu leisten, ansonsten auf die Beschwerde nicht eingetreten werde. Im Weiteren setzte sie A.________ eine Frist von 20 Tagen, um eine deutsche Übersetzung der in spanischer Sprache gehaltenen Beilage 4/5 zur Beschwerdeschrift einzureichen.</w:t>
      </w:r>
    </w:p>
    <w:p>
      <w:r>
        <w:rPr>
          <w:b/>
        </w:rPr>
        <w:t>E. 2</w:t>
      </w:r>
    </w:p>
    <w:p>
      <w:r>
        <w:t>Mit Eingaben vom 29. April 2020 und 4. Mai 2020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macht sinngemäss geltend, die ihm auferlegte Prozesskaution verletze seinen Anspruch auf unentgeltliche Rechtspflege. Er behauptet indessen nicht, dass er im kantonalen Verfahren ein solches Gesuch gestellt hätte. Weshalb sein Anspruch auf unentgeltliche Rechtspflege gleichwohl verletzt worden sein sollte, legt er nicht dar. Aus seinen weiteren Ausführungen ergibt sich nicht, inwiefern die Auferlegung einer Sicherheit im Sinne von Art. 383 StPO rechtswidrig erfolgt sein sollte. Auch vermag der Beschwerdeführer nicht aufzuzeigen, inwiefern die Rechtsmittelbehörde von ihm in rechtswidriger Weise eine Übersetzung einer Beschwerdebeilage verlangt haben sollte. Zusammenfassend ergibt sich aus der Beschwerde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5</w:t>
      </w:r>
    </w:p>
    <w:p>
      <w:r>
        <w:t>Der Beschwerdeführer beantragt für das vorliegende Verfahren sinngemäss die unentgeltliche Rechtspflege. Angesichts der Aussichtslosigkeit des Verfahrens ist dem Gesuch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