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1B_215/2010 vom 12. August 2010</w:t>
      </w:r>
    </w:p>
    <w:p>
      <w:r>
        <w:t>Bundesgericht, 2010-08-12, DE</w:t>
      </w:r>
    </w:p>
    <w:p>
      <w:r>
        <w:rPr>
          <w:b/>
        </w:rPr>
        <w:t xml:space="preserve">Quelle: </w:t>
      </w:r>
      <w:r>
        <w:t>https://mcp.opencaselaw.ch/entscheid/bger_1B_215_2010</w:t>
      </w:r>
    </w:p>
    <w:p>
      <w:r>
        <w:t>FR: TF 1B_215/2010 du 12 août 2010</w:t>
      </w:r>
    </w:p>
    <w:p>
      <w:r>
        <w:t>IT: TF 1B_215/2010 del 12 agosto 2010</w:t>
      </w:r>
    </w:p>
    <w:p>
      <w:pPr>
        <w:pStyle w:val="Heading2"/>
      </w:pPr>
      <w:r>
        <w:t>Erwägungen</w:t>
      </w:r>
    </w:p>
    <w:p>
      <w:r>
        <w:rPr>
          <w:b/>
        </w:rPr>
        <w:t>E. 1</w:t>
      </w:r>
    </w:p>
    <w:p>
      <w:r>
        <w:t>Die Sachurteilsvoraussetzungen von Art. 78 ff. BGG sind erfüllt.</w:t>
      </w:r>
    </w:p>
    <w:p>
      <w:r>
        <w:rPr>
          <w:b/>
        </w:rPr>
        <w:t>E. 2</w:t>
      </w:r>
    </w:p>
    <w:p>
      <w:r>
        <w:t>Der Beschwerdeführer wurde bereits mit Urteilen des Strafgerichts des Kantons Zug vom 18. Dezember 2009 bzw. (auf Berufung hin) des Obergerichts des Kantons Zug vom 25. Mai 2010 wegen diversen Vermögens- und Urkundendelikten zu einer unbedingten Freiheitsstrafe von 18 Monaten verurteilt. Der angefochtene Haftbeschwerdeentscheid stützt den dringenden Tatverdacht auf separate Vorwürfe gemäss Anklageschrift vom 6. Mai 2010, die noch nicht gerichtlich beurteilt worden sind. Der Beschwerdeführer rügt, die am angefochtenen Entscheid als Haftrichterin mitwirkende Oberrichterin sei als befangen anzusehen, weil sie zuvor als Berufungsrichterin (und Mitglied der Strafrechtlichen Abteilung) schon am Urteil des Obergerichts vom 25. Mai 2010 mitgewirkt habe. Dies verletze seine durch Art. 30 Abs. 1 BV und Art. 6 Ziff. 1 EMRK geschützten Rechte.</w:t>
      </w:r>
    </w:p>
    <w:p>
      <w:r>
        <w:t>Gestützt auf Art. 30 Abs. 1 und Art. 31 Abs. 4 BV sowie Art. 5 Ziff. 4 EMRK hat die inhaftierte Person Anspruch auf einen unabhängigen und unparteiischen Haftrichter. Im vorliegenden Fall hat die fragliche Berufungsrichterin nicht in gleicher Sache sowohl als Haftrichterin als auch als Sachrichterin geurteilt (dazu vgl. BGE 117 I 182 E. 3b S. 185 f.). Vielmehr war sie mit materiellstrafrechtlichen Fragen zu separat beurteilten Anklagepunkten befasst, welche hinsichtlich der im angefochtenen Entscheid streitigen Haftgründe, insbesondere des dringenden Tatverdachtes, gar nicht Gegenstand der aktuellen Anklage bildeten. Die hier fraglichen haftbegründenden Anklagepunkte werden erst an der Hauptverhandlung vor dem Strafgericht (voraussichtlich am 22. September 2010) erstinstanzlich zu beurteilen sein. Wie der Beschwerdeführer einräumt, sieht auch das kantonale Recht für den vorliegenden Fall keine Ausstandspflicht vor. Art. 6 Ziff. 1 EMRK hat in diesem Zusammenhang keine über das Dargelegte hinausgehende selbstständige Bedeutung.</w:t>
      </w:r>
    </w:p>
    <w:p>
      <w:r>
        <w:rPr>
          <w:b/>
        </w:rPr>
        <w:t>E. 3</w:t>
      </w:r>
    </w:p>
    <w:p>
      <w:r>
        <w:t>Nach zugerischem Recht darf strafprozessuale Haft nur angeordnet bzw. fortgesetzt werden, wenn die beschuldigte Person eines Verbrechens oder Vergehens dringend verdächtig ist und ausserdem ein besonderer Haftgrund erfüllt ist, namentlich Wiederholungsgefahr. Letztere ist gegeben, wenn aufgrund bestimmter Anhaltspunkte befürchtet werden muss, dass die beschuldigte Person durch Verbrechen oder Vergehen die Sicherheit anderer erheblich gefährden könnte, insbesondere nachdem sie bereits früher Straftaten verübt hatte ( § 17 Abs. 1 Ziff. 3 StPO /ZG).</w:t>
      </w:r>
    </w:p>
    <w:p>
      <w:r>
        <w:rPr>
          <w:b/>
        </w:rPr>
        <w:t>E. 3.1</w:t>
      </w:r>
    </w:p>
    <w:p>
      <w:r>
        <w:t>Der Beschwerdeführer bestreitet den dringenden Tatverdacht von Verbrechen oder Vergehen nicht. Er wendet sich jedoch gegen die Annahme von Wiederholungsgefahr. Die Vorinstanz gehe bei ihm zu Unrecht von einer sehr hohen Rückfallgefahr aus.</w:t>
      </w:r>
    </w:p>
    <w:p>
      <w:r>
        <w:rPr>
          <w:b/>
        </w:rPr>
        <w:t>E. 3.2</w:t>
      </w:r>
    </w:p>
    <w:p>
      <w:r>
        <w:t>Nach der Praxis des Bundesgerichts kann die Anordnung bzw. Fortsetzung von strafprozessualer Haft wegen Fortsetzungsgefahr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Angeschuldigte an der Begehung strafbarer Handlungen zu hindern, somit Spezialprävention, als Haftgrund ( BGE 135 I 71 E. 2.2 S. 72 mit Hinweisen). Bei der Annahme, dass ein Angeschuldigter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grundrechtskonform,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3.3</w:t>
      </w:r>
    </w:p>
    <w:p>
      <w:r>
        <w:t>Bei Beschwerden, die gestützt auf das Recht der persönlichen Freiheit ( Art. 10 Abs. 2, Art. 31 BV ) wegen einer Haftbestätigung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3.4</w:t>
      </w:r>
    </w:p>
    <w:p>
      <w:r>
        <w:t>Der Beschwerdeführer wurde bereits mit Urteilen des Strafgerichts vom 18. Dezember 2009 bzw. (auf Berufung hin) des Obergerichts vom 25. Mai 2010 wegen Veruntreuung, Betrug, ungetreuer Geschäftsbesorgung, Urkundenfälschung und Erschleichen einer Falschbeurkundung zu einer unbedingten Freiheitsstrafe von 18 Monaten verurteilt. Das Obergericht lehnte wegen hoher Rückfallgefahr den (teil)bedingten Strafvollzug ab. Die kantonalen Behörden werfen dem Beschwerdeführer vor, dass er in den Jahren 2007 bis 2009 - trotz der bereits hängigen Strafuntersuchung - zahlreiche neue einschlägige Delikte verübte, weshalb 2009 eine zusätzliche Untersuchung eröffnet und am 6. Mai 2010 eine weitere Anklage erhoben werden musste wegen mehrfachen Betrugs, mehrfacher Veruntreuung, mehrfacher Urkundenfälschung, Irreführung der Rechtspflege und weiteren Straftaten mit einem Deliktsbetrag von ca. Fr. 180'000.--. Zudem wird im angefochtenen Entscheid auf das psychiatrische Gutachten verwiesen, das beim Angeklagten (aufgrund seiner charakterlichen Eigenschaften) eine besondere Neigung zu einschlägigen Vermögensdelikten konstatiert. In diesem Zusammenhang sind keine unhaltbaren Tatsachenfeststellungen der Vorinstanz ersichtlich. Dass diese von drohender schwerwiegender Delinquenz und konkreten Anhaltspunkten für eine sehr ungünstige Rückfallprognose ausgeht, hält bei gesamthafter Würdigung vor der Verfassung stand. Dass die (im Berufungsverfahren) bereits erfolgte einschlägige Verurteilung zu einer unbedingten Freiheitsstrafe noch nicht rechtskräftig ist, verbietet es dem Haftrichter nicht, diese bei der Beurteilung von Wiederholungsgefahr mitzuberücksichtigen.</w:t>
      </w:r>
    </w:p>
    <w:p>
      <w:r>
        <w:rPr>
          <w:b/>
        </w:rPr>
        <w:t>E. 3.5</w:t>
      </w:r>
    </w:p>
    <w:p>
      <w:r>
        <w:t>Als verfassungskonform erweist sich auch die Ansicht der Vorinstanz, mit blossen Ersatzmassnahmen für Haft lasse sich der dargelegten Gefahr weiterer schwerwiegender Straftaten im vorliegenden Fall nicht ausreichend begegnen. Es kann offen bleiben, ob neben Fortsetzungsgefahr noch zusätzliche besondere Haftgründe (etwa Flucht- oder Kollusionsgefahr) erfüllt wären.</w:t>
      </w:r>
    </w:p>
    <w:p>
      <w:r>
        <w:rPr>
          <w:b/>
        </w:rPr>
        <w:t>E. 4</w:t>
      </w:r>
    </w:p>
    <w:p>
      <w:r>
        <w:t>Der Beschwerdeführer rügt sodann die Fortdauer der Haft als unverhältnismässig. Die Hauptverhandlung sei auf den 22. September 2010 festgesetzt worden. Zu jenem Zeitpunkt werde er bereits ein Jahr in strafprozessualer Haft verbracht haben; ausserdem müsse ihm die Möglichkeit einer frühzeitigen bedingten Entlassung aus dem Strafvollzug angerechnet werden. Das Berufungsurteil des Obergerichts vom 25. Mai 2010 sei noch nicht rechtskräftig. Die am 8. Mai 2010 erfolgte Anordnung von Sicherheitshaft stehe auch in Widerspruch zu einem früheren haftrichterlichen Entscheid (vom 8. Februar 2010), in welchem die Weiterdauer von Untersuchungshaft bis längstens 8. Mai 2010 verfügt worden sei.</w:t>
      </w:r>
    </w:p>
    <w:p>
      <w:r>
        <w:rPr>
          <w:b/>
        </w:rPr>
        <w:t>E. 4.1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4.2</w:t>
      </w:r>
    </w:p>
    <w:p>
      <w:r>
        <w:t>Dass die Untersuchungshaft letztmals am 8. Februar 2010 (um drei Monate) bis 8. Mai 2010 bewilligt worden sei, bevor der Haftrichter des Strafgerichts (nach erfolgter Anklageerhebung) am 8. Mai 2010 die Fortdauer der strafprozessualen Haft in Form von Sicherheitshaft verfügte, begründet keine Grundrechtsverletzung. Dieses Vorgehen entspricht den Vorschriften des kantonalen Prozessrechtes (vgl. § 17 sexies Abs. 3 i.V.m § 18bis StPO /ZG) und hält auch vor Art. 31 Abs. 1 und Abs. 4 BV stand.</w:t>
      </w:r>
    </w:p>
    <w:p>
      <w:r>
        <w:rPr>
          <w:b/>
        </w:rPr>
        <w:t>E. 4.3</w:t>
      </w:r>
    </w:p>
    <w:p>
      <w:r>
        <w:t>Das Obergericht sprach den Beschwerdeführer am 25. Mai 2010 diverser Vermögens- und Urkundendelikte schuldig und verurteilte ihn zu einer unbedingten Freiheitsstrafe von 18 Monaten. Im Falle einer zusätzlichen Verurteilung wegen mehrfachen Betrugs, mehrfacher Veruntreuung, mehrfacher Urkundenfälschung, Irreführung der Rechtspflege und weiteren Straftaten droht ihm eine empfindliche zusätzliche Strafe. In ihrer Anklageschrift vom 6. Mai 2010 beantragt die Staatsanwaltschaft 17 Monate Freiheitsentzug als Zusatzstrafe. Im Zeitpunkt des angefochtenen Entscheides betrug die bisherige Haftdauer ca. neun Monate. Damit ist sie noch nicht in grosse zeitliche Nähe der freiheitsentziehenden Sanktion gerückt, die (im Falle von rechtskräftigen Verurteilungen) insgesamt erwartet werden kann.</w:t>
      </w:r>
    </w:p>
    <w:p>
      <w:r>
        <w:rPr>
          <w:b/>
        </w:rPr>
        <w:t>E. 4.4</w:t>
      </w:r>
    </w:p>
    <w:p>
      <w:r>
        <w:t>Der Beschwerdeführer macht geltend, angesichts seiner guten Führungszeugnisse sei ihm die Möglichkeit einer bedingten Entlassung (aus dem ordentlichen Strafvollzug nach rechtskräftiger Verurteilung, Art. 86 Abs. 1 StGB ) nach frühestens zwei Dritteln des Strafvollzuges anzurechnen. Gemäss der Rechtsprechung des Bundesgerichts ist dieser Möglichkeit (bei der Prüfung der zulässigen Haftdauer) nur in Ausnahmefällen Rechnung zu tragen, wenn bereits im hängigen Strafverfahren aufgrund der konkreten Umstände absehbar ist, dass (nach einer rechtskräftigen Verurteilung mit Strafvollzug) eine bedingte Entlassung mit grosser Wahrscheinlichkeit erfolgen dürfte (vgl. Urteile 1B_250/2009 vom 24. September 2009 E. 3.4-3.5; 1B_234/2008 vom 8. September 2008 E. 3-4; 1P.493/2006 vom 5. September 2006 E. 6.1). Es kann offen bleiben, ob hier ein solcher Ausnahmefall gegeben wäre. Angesichts der dem Beschwerdeführer insgesamt drohenden Haupt- und Zusatzfreiheitsstrafe bestünden selbst dann keine Anhaltspunkte für eine verfassungswidrige strafprozessuale Überhaft.</w:t>
      </w:r>
    </w:p>
    <w:p>
      <w:r>
        <w:rPr>
          <w:b/>
        </w:rPr>
        <w:t>E. 4.5</w:t>
      </w:r>
    </w:p>
    <w:p>
      <w:r>
        <w:t>Es sind auch keine prozessualen Versäumnisse der kantonalen Justizbehörden ersichtlich, welche eine sofortige Haftentlassung rechtfertigen würden. Die Anklageerhebung (für die noch zu beurteilenden komplexen Delikte) erfolgte am 6. Mai 2010 und damit ca. sieben Monate nach der Verhaftung des Beschwerdeführers. Die Hauptverhandlung vor dem Strafgericht wurde auf den 22. September 2010 terminiert.</w:t>
      </w:r>
    </w:p>
    <w:p>
      <w:r>
        <w:rPr>
          <w:b/>
        </w:rPr>
        <w:t>E. 5</w:t>
      </w:r>
    </w:p>
    <w:p>
      <w:r>
        <w:t>Die Beschwerde ist abzuweisen.</w:t>
      </w:r>
    </w:p>
    <w:p>
      <w:r>
        <w:t>Der Beschwerdeführer stellt ein Gesuch um unentgeltliche Prozessführung und Rechtsverbeiständung. Er ist amtlich verteidigt und befindet sich seit längerer Zeit in strafprozessualer Haft. Da die gesetzlichen Voraussetzungen erfüllt sind (und insbesondere die finanzielle Bedürftigkeit des Gesuchstellers ausreichend dargelegt erscheint), kann dem Ersuchen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