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1B_214/2015 vom 1. September 2015</w:t>
      </w:r>
    </w:p>
    <w:p>
      <w:r>
        <w:t>Bundesgericht, 2015-09-01, DE</w:t>
      </w:r>
    </w:p>
    <w:p>
      <w:r>
        <w:rPr>
          <w:b/>
        </w:rPr>
        <w:t xml:space="preserve">Quelle: </w:t>
      </w:r>
      <w:r>
        <w:t>https://mcp.opencaselaw.ch/entscheid/bger_1B_214_2015</w:t>
      </w:r>
    </w:p>
    <w:p>
      <w:r>
        <w:t>FR: TF 1B_214/2015 du 1 septembre 2015</w:t>
      </w:r>
    </w:p>
    <w:p>
      <w:r>
        <w:t>IT: TF 1B_214/2015 del 1 settembre 2015</w:t>
      </w:r>
    </w:p>
    <w:p>
      <w:pPr>
        <w:pStyle w:val="Heading2"/>
      </w:pPr>
      <w:r>
        <w:t>Erwägungen</w:t>
      </w:r>
    </w:p>
    <w:p>
      <w:r>
        <w:rPr>
          <w:b/>
        </w:rPr>
        <w:t>E. 1.1</w:t>
      </w:r>
    </w:p>
    <w:p>
      <w:r>
        <w:t>Beim angefochtenen Beschluss über den Ausstand des Bezirksgerichtsvizepräsidenten handelt es sich um einen selbständig anfechtbaren, kantonal letztinstanzlichen (vgl. Art. 59 Abs. 1 lit. b StPO ) Zwischenentscheid des Kantonsgerichts, gegen den gemäss Art. 78 ff. in Verbindung mit Art. 92 BGG grundsätzlich die Beschwerde in Strafsachen an das Bundesgericht offen steht.</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vgl. auch Art. 106 Abs. 2 BGG ).</w:t>
      </w:r>
    </w:p>
    <w:p>
      <w:r>
        <w:rPr>
          <w:b/>
        </w:rPr>
        <w:t>E. 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Die Mehrfachbefassung mit derselben Angelegenheit, nicht zuletzt im Zusammenhang mit einem prozessualen Zwischenentscheid, genügt dafür ebenfalls nicht, solange das Verfahren noch als offen erscheint (vgl. das Urteil des Bundesgerichts 1B_170/2012 vom 19. Juni 2012 E. 4.2). Schliesslich stellt auch die Ablehnung eines Beweisantrags durch das verfahrensleitende Gerichtsmitglied für sich allein keinen Ausstandsgrund dar (vgl. BGE 116 Ia 135 ).</w:t>
      </w:r>
    </w:p>
    <w:p>
      <w:r>
        <w:rPr>
          <w:b/>
        </w:rPr>
        <w:t>E. 3.1</w:t>
      </w:r>
    </w:p>
    <w:p>
      <w:r>
        <w:t>Der Beschwerdeführer leitet den behaupteten Ausstandsgrund im Wesentlichen daraus ab, dass der verfahrensleitende Bezirksgerichtsvizepräsident die von ihm gestellten Beweisanträge abgelehnt und die Staatsanwältin von der Teilnahme an der Hauptverhandlung dispensiert habe. Nicht zuletzt dadurch habe der fragliche Bezirksrichter mit der Staatsanwaltschaft fraternisiert, womit der Grundsatz der Waffengleichheit verletzt sei und dem Beschwerdeführer ein faires Verfahren verwehrt bleibe.</w:t>
      </w:r>
    </w:p>
    <w:p>
      <w:r>
        <w:rPr>
          <w:b/>
        </w:rPr>
        <w:t>E. 3.2</w:t>
      </w:r>
    </w:p>
    <w:p>
      <w:r>
        <w:t>Bei der fraglichen Verfügung über die Zulassung von beantragten Beweisen und über die Teilnahmepflicht der Staatsanwaltschaft an der Hauptverhandlung handelt es sich um prozessuale Entscheide der Verfahrensleitung, die vor der Hauptverhandlung ergangen sind. Darin liegt für sich allein kein Ausstandsgrund (vgl. BGE 131 I 113 E. 3.5 S. 117 f.). Der Beschwerdeführer kann überdies seine Gesuche in der Hauptverhandlung nochmals stellen bzw. das Strafurteil als solches anfechten, falls seinen Anträgen auch vom Gericht nicht stattgegeben werden sollte. Er kann dabei insbesondere das von ihm behauptete Missverhältnis zwischen der Zulassung von belastendem und entlastendem Beweismaterial geltend machen. Seine Verteidigungsrechte sind mithin nicht beeinträchtigt.</w:t>
      </w:r>
    </w:p>
    <w:p>
      <w:r>
        <w:t>Selbst wenn darin ein Verstoss gegen die Verfahrensgrundsätze von Art. 6 EMRK liegen würde, wie der Beschwerdeführer behauptet, würde das für sich allein noch keinen Ausstandsgrund begründen. Der allfällige Verfahrensmangel wäre weder besonders krass noch wiederholt, so dass sich daraus keine Voreingenommenheit ableiten liesse. Im Übrigen sieht die schweizerische Strafprozessordnung die Möglichkeit vor, dass die Staatsanwaltschaft nicht zwingend an der Hauptverhandlung teilzunehmen hat (vgl. Art. 337 StPO , insbes. Art. 337 Abs. 3 und 4 e contrario), in welchem Fall die Verfahrensleitung die Anträge der Staatsanwaltschaft bekannt gibt, falls die Parteien nicht darauf verzichten ( Art. 340 Abs. 2 StPO ). Die Dispensation der Staatsanwaltschaft von der Hauptverhandlung gilt anerkanntermassen auch nicht als verfassungs- oder menschenrechtswidrig, solange das Strafgericht nicht die Funktion der Staatsanwaltschaft übernimmt (vgl. FROWEIN/ Peukert, EMRK-Kommentar, 3. Aufl., 2009, Art. 6 N. 234; Grabenwarter/ PABEL, Europäische Menschenrechtskonvention, 5. Aufl., 2012, § 24 N. 45, S. 409 f.). Allein die Bekanntgabe der Anträge der Staatsanwaltschaft durch die Verfahrensleitung führt nicht zu einer solchen massgeblichen Funktionsübernahme (vgl. die Ausführungen und Beispiele in BGE 131 I 113 E. 3.5 S. 117 f.).</w:t>
      </w:r>
    </w:p>
    <w:p>
      <w:r>
        <w:rPr>
          <w:b/>
        </w:rPr>
        <w:t>E. 3.3</w:t>
      </w:r>
    </w:p>
    <w:p>
      <w:r>
        <w:t>Streitgegenstand ist einzig das gegen den Bezirksgerichtsvizepräsidenten gerichtete Ausstandsbegehren. Ein Ausstand der Kantonsgerichtsvizepräsidentin steht hier nicht zur Diskussion. Es ist nicht ersichtlich, inwiefern das Urteil des Kantonsgerichts in einem angeblich gleich gelagerten Fall eines Konkurrenzunternehmens sowie die damalige Beteiligung der heutigen Kantonsgerichtsvizepräsidentin als Gerichtsschreiberin an diesem Urteil Rückschlüsse auf den erforderlichen Ausstand des Bezirksgerichtsvizepräsidenten zulassen sollten. Ob die beiden Fälle vergleichbar sind oder nicht, kann hier offen bleiben. Es ist jedenfalls nicht widersprüchlich, im einen Streitfall in der Sache ein Strafdelikt zu verneinen, im anderen, dem vorliegenden, jedoch zu schliessen, ein Ausstandsgrund liege nicht vor. Die materiellrechtliche Frage der Strafbarkeit ist nicht identisch mit der prozessualen Frage der Ausstandspflicht, weshalb eine unterschiedliche Beurteilung möglich und unter Umständen sogar angezeigt ist.</w:t>
      </w:r>
    </w:p>
    <w:p>
      <w:r>
        <w:rPr>
          <w:b/>
        </w:rPr>
        <w:t>E. 3.4</w:t>
      </w:r>
    </w:p>
    <w:p>
      <w:r>
        <w:t>Schliesslich bestehen auch keine sonstigen Anhaltspunkte für die behauptete Fraternalisierung des Bezirksgerichtsvizepräsidenten mit der Staatsanwaltschaft bzw. für die angebliche Befangenheit oder nur schon den Anschein einer solchen beim fraglichen Bezirksrichter. Insbesondere sind dessen Verfügungen inhaltlich neutral verfasst und enthalten nicht tendenziöse Bewertungen, wie der Beschwerdeführer im Verlauf des Verfahrens wiederholt behauptete. Auf das subjektive Empfinden einer Partei kommt es dabei nicht an, sondern der angebliche Ausstandsgrund muss objektiv begründet sein ( GRABENWARTER/ PABEL, a.a.O., § 24 N. 43, S. 408), was hier nicht zutrifft. Der Ausgang des Strafverfahrens erscheint weiterhin offen, was umso mehr gelten müsste, wenn der vorliegende Fall, wie der Beschwerdeführer selbst behauptet, tatsächlich mit dem angeblich gleich gelagerten Parallelfall vergleichbar wäre, in dem es offenbar zu einem Freispruch gekommen ist.</w:t>
      </w:r>
    </w:p>
    <w:p>
      <w:r>
        <w:rPr>
          <w:b/>
        </w:rPr>
        <w:t>E. 4</w:t>
      </w:r>
    </w:p>
    <w:p>
      <w:r>
        <w:t>Die Beschwerde erweist sich als unbegründet und ist abzuweisen.</w:t>
      </w:r>
    </w:p>
    <w:p>
      <w:r>
        <w:t>Da die Rechtsbegehren des Beschwerdeführers als von vornherein aussichtslos erscheinen, ist sein Gesuch um unentgeltliche Rechtspflege schon aus diesem Grunde abzuweisen (vgl. Art. 64 BGG ). Angesichts des Verfahrensausgangs wird der unterliegende Beschwerdeführer daher kostenpflichtig. Seinen angeblich angespannten finanziellen Verhältnissen kann bei der Festlegung der Gerichtsgebühr Rechnung getragen werden ( Art. 66 Abs. 1, Art. 65 BGG ), wozu immerhin festzuhalten ist, dass allein der Konkurs des von ihm geführten Unternehmens noch nicht zwingend seine eigene Bedürftigkeit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