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213/2021 vom 28. April 2021</w:t>
      </w:r>
    </w:p>
    <w:p>
      <w:r>
        <w:t>Bundesgericht, 2021-04-28, DE</w:t>
      </w:r>
    </w:p>
    <w:p>
      <w:r>
        <w:rPr>
          <w:b/>
        </w:rPr>
        <w:t xml:space="preserve">Quelle: </w:t>
      </w:r>
      <w:r>
        <w:t>https://mcp.opencaselaw.ch/entscheid/bger_1B_213_2021</w:t>
      </w:r>
    </w:p>
    <w:p>
      <w:r>
        <w:t>FR: TF 1B 213/2021 du 28 avril 2021</w:t>
      </w:r>
    </w:p>
    <w:p>
      <w:r>
        <w:t>IT: TF 1B 213/2021 del 28 aprile 2021</w:t>
      </w:r>
    </w:p>
    <w:p>
      <w:pPr>
        <w:pStyle w:val="Heading2"/>
      </w:pPr>
      <w:r>
        <w:t>Regeste</w:t>
      </w:r>
    </w:p>
    <w:p>
      <w:r>
        <w:t>Strafverfahren; Beweismittel | Strafprozess</w:t>
      </w:r>
    </w:p>
    <w:p>
      <w:pPr>
        <w:pStyle w:val="Heading2"/>
      </w:pPr>
      <w:r>
        <w:t>Erwägungen</w:t>
      </w:r>
    </w:p>
    <w:p>
      <w:r>
        <w:rPr>
          <w:b/>
        </w:rPr>
        <w:t>E. 1</w:t>
      </w:r>
    </w:p>
    <w:p>
      <w:r>
        <w:t>Das Bezirksgericht Visp verurteilte A.A.________ mit Urteil vom 20. Januar 2021 wegen mehrfachen Ungehorsams gegen eine amtliche Verfügung zu einer Busse von Fr. 450.-- bzw. zu einer Ersatzfreiheitsstrafe von vier Tagen. Am 1. Februar 2021 reichte A.A.________ die Berufungserklärung ein, in der er die Befragung seiner Kinder zum persönlichen Umgang mit dem Vater beantragte. Die I. Strafrechtliche Abteilung des Kantonsgerichts Wallis wies das Gesuch mit Entscheid vom 20. April 2021 ab. Sie führte zur Begründung zusammenfassend aus, dass im vorliegenden Verfahren die Verletzung eines bestehenden Kontaktverbots zwischen dem Beschuldigten und seiner damaligen Ehefrau durch von diesem versandte E-Mails zu beurteilen sei. Die Haltung der Kinder zu einem allfälligen Besuchsrecht des Beschuldigten könne in diesem Zusammenhang keine wesentlichen Erkenntnisse bringen. Auch sei das Kantonsgericht im vorliegenden Verfahren für eine allfällige Anordnung eines Besuchsrechts nicht zuständig. Somit sei auf die Einvernahme der Kinder zu verzichten und der entsprechende Antrag sei abzuweisen.</w:t>
      </w:r>
    </w:p>
    <w:p>
      <w:r>
        <w:rPr>
          <w:b/>
        </w:rPr>
        <w:t>E. 2</w:t>
      </w:r>
    </w:p>
    <w:p>
      <w:r>
        <w:t>A.A.________ führt mit Eingabe vom "11. März 2021" (Postaufgabe 26. April 2021) Beschwerde in Strafsachen gegen den Entscheid der I. Strafrechtlichen Abteilung des Kantonsgerichts Wallis.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setzt sich mit seinen weitschweifigen und nicht sachbezogenen Ausführungen nicht mit der Begründung des angefochtenen Entscheids auseinander, die zur Abweisung des Beweisantrages führte. Er vermag nicht im Einzelnen und konkret aufzuzeigen, inwiefern die Begründung der I. Strafrechtlichen Abteilung des Kantonsgerichts bzw. deren Entscheid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