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211/2017 vom 27. Juni 2017</w:t>
      </w:r>
    </w:p>
    <w:p>
      <w:r>
        <w:t>Bundesgericht, 2017-06-27, FR</w:t>
      </w:r>
    </w:p>
    <w:p>
      <w:r>
        <w:rPr>
          <w:b/>
        </w:rPr>
        <w:t xml:space="preserve">Quelle: </w:t>
      </w:r>
      <w:r>
        <w:t>https://mcp.opencaselaw.ch/entscheid/bger_1B_211_2017</w:t>
      </w:r>
    </w:p>
    <w:p>
      <w:r>
        <w:t>FR: TF 1B 211/2017 du 27 juin 2017</w:t>
      </w:r>
    </w:p>
    <w:p>
      <w:r>
        <w:t>IT: TF 1B 211/2017 del 27 giugno 2017</w:t>
      </w:r>
    </w:p>
    <w:p>
      <w:pPr>
        <w:pStyle w:val="Heading2"/>
      </w:pPr>
      <w:r>
        <w:t>Regeste</w:t>
      </w:r>
    </w:p>
    <w:p>
      <w:r>
        <w:t>maintien des mesures de substitution à la détention provisoire | Procédure pénale</w:t>
      </w:r>
    </w:p>
    <w:p>
      <w:pPr>
        <w:pStyle w:val="Heading2"/>
      </w:pPr>
      <w:r>
        <w:t>Erwägungen</w:t>
      </w:r>
    </w:p>
    <w:p>
      <w:r>
        <w:rPr>
          <w:b/>
        </w:rPr>
        <w:t>E. 1</w:t>
      </w:r>
    </w:p>
    <w:p>
      <w:r>
        <w:t>Le recours en matière pénale ( art. 78 al. 1 LTF ) est ouvert contre une décision relative aux mesures de substitution à la détention provisoire au sens de l' art. 237 CPP (arrêt 1B_246/2014 du 26 août 2014 consid. 1). Selon l'art. 81 al. 1 let. a et b ch. 1 LTF, le prévenu a qualité pour recourir. Le recours a été formé en temps utile ( art. 100 al. 1 LTF ) contre une décision rendue en dernière instance cantonale ( art. 80 LTF ) et les conclusions présentées sont recevables au regard de l' art. 107 al. 2 LTF . Il y a donc lieu d'entrer en matière.</w:t>
      </w:r>
    </w:p>
    <w:p>
      <w:r>
        <w:rPr>
          <w:b/>
        </w:rPr>
        <w:t>E. 2</w:t>
      </w:r>
    </w:p>
    <w:p>
      <w:r>
        <w:t>Le recourant conteste l'existence de forts soupçons à son encontre au sens de l' art. 221 al. 1 CPP .</w:t>
      </w:r>
    </w:p>
    <w:p>
      <w:r>
        <w:rPr>
          <w:b/>
        </w:rPr>
        <w:t>E. 2.1</w:t>
      </w:r>
    </w:p>
    <w:p>
      <w:r>
        <w:t>Une mesure de détention provisoire ou pour des motifs de sûreté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les besoins de l'instruction, par un risque de fuite ou par un danger de collusion ou de réitération (art. 221 al. 1 let. a, b et c CPP). Préalablement à ces conditions, il doit exister des charges suffisantes, soit de sérieux soupçons de culpabilité, à l'égard de l'intéressé ( art. 221 al. 1 CPP ; art. 5 par. 1 let . c CEDH),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ne lui incombe pas non plus de résoudre définitivement les questions de qualification juridique des faits poursuivis. Il doit uniquement examiner s'il existe des indices sérieux de culpabilité justifiant une telle mesure ( ATF 137 IV 122 consid. 3.2 p. 126 s.). A l'instar du juge du séquestre, le juge de la détention n'est pas tenu, à ce stade de la procédure, de résoudre des questions juridiques complexes (cf. ATF 141 IV 360 consid. 3.2 p. 364 et les arrêts cités).</w:t>
      </w:r>
    </w:p>
    <w:p>
      <w:r>
        <w:rPr>
          <w:b/>
        </w:rPr>
        <w:t>E. 2.2</w:t>
      </w:r>
    </w:p>
    <w:p>
      <w:r>
        <w:t>En l'espèce, le Tribunal cantonal a considéré qu'il existait des soupçons que le recourant ait pu jouer un rôle dans un trafic de stupéfiants, en raison de ses activités suspectes (nombreux déplacements, mouvement de fonds, traces de cocaïne découvertes sur ses mains lors de son interpellation à la frontière franco-suisse - épisode qui est toutefois englobé dans les faits réprimés par l'ordonnance pénale genevoise -, contact avec des clients français, plus largement "profil d'homme à tout faire" et de convoyeur pour le compte de D.________). Il met encore en avant le fait que le recourant n'apporte aucun élément pour expliquer les faits qui lui sont reprochés, en particulier ses nombreux déplacements suspects. Dans son recours, le recourant ne répond à aucun de ces éléments. Il se borne à relever que son téléphone portable lui a été restitué, que le volet financier de l'enquête avait démontré qu'il n'avait pas les biens matériels d'un grand trafiquant et que les personnes interrogées ne l'incriminaient pas, voire ne le reconnaissaient pas. Fût-elle suffisamment motivée et recevable, cette argumentation ne suffirait toutefois pas à établir l'absence de charges à l'encontre du prévenu, étant rappelé que c'est au juge du fond et non à celui de la détention qu'il incombera d'apprécier la culpabilité de l'intéressé ainsi que la valeur probante des différentes déclarations. Il s'ensuit que l'appréciation de la cour cantonale selon laquelle il existerait de forts soupçons à l'encontre du prévenu ne viole pas l' art. 221 al. 1 CPP .</w:t>
      </w:r>
    </w:p>
    <w:p>
      <w:r>
        <w:rPr>
          <w:b/>
        </w:rPr>
        <w:t>E. 3</w:t>
      </w:r>
    </w:p>
    <w:p>
      <w:r>
        <w:t>Le recourant met aussi en cause l'existence d'un risque de fuite.</w:t>
      </w:r>
    </w:p>
    <w:p>
      <w:r>
        <w:rPr>
          <w:b/>
        </w:rPr>
        <w:t>E. 3.1</w:t>
      </w:r>
    </w:p>
    <w:p>
      <w:r>
        <w:t>Selon la jurisprudence, le risque de fuite au sens de l' 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 Lorsque le danger de fuite est invoqué non pas comme motif de détention, mais comme condition au prononcé d'une mesure alternative moins contraignante, on peut être moins exigeant quant à la vraisemblance d'un tel danger ( ATF 133 I 27 consid 3.3 p. 31; arrêt 1B_388/2015 du 3 décembre 2015 consid. 2.4.1).</w:t>
      </w:r>
    </w:p>
    <w:p>
      <w:r>
        <w:rPr>
          <w:b/>
        </w:rPr>
        <w:t>E. 3.2</w:t>
      </w:r>
    </w:p>
    <w:p>
      <w:r>
        <w:t>En l'occurrence, le recourant, ressortissant du Kosovo, a certes trouvé un domicile qu'il qualifie de stable; il s'agit en réalité d'une résidence à l'hôtel alors qu'il est toujours en recherche d'emploi. Le Tribunal cantonal a encore précisé que le recourant avait indiqué que l'emprunt de 45'000 francs que lui avait octroyé l'institut E.________ avait été investi dans la maison familiale au Kosovo dont "il n'a toujours pas fini les travaux", ce qui confirmait ses liens avec son pays d'origine. Ces éléments, que le recourant ne dément d'ailleurs pas, apparaissent suffisants pour retenir un risque concret de fuite. Le fait que le recourant n'a jamais cherché à prendre la fuite, ni avant ni après sa détention, qu'il s'est présenté aux convocations de police et du Ministère public et qu'il serait au bénéfice d'un permis C est insuffisant à faire admettre l'invraisemblance du risque de fuite. Par conséquent, l'instance précédente pouvait retenir, sans violer le droit fédéral, qu'il existe un risque de fuite suffisant pour maintenir les mesures de substitution litigieuses.</w:t>
      </w:r>
    </w:p>
    <w:p>
      <w:r>
        <w:rPr>
          <w:b/>
        </w:rPr>
        <w:t>E. 4</w:t>
      </w:r>
    </w:p>
    <w:p>
      <w:r>
        <w:t>S'agissant des mesures de substitution prononcées, le recourant affirme uniquement que la saisie de sa carte d'identité kosovare, document d'identité étranger, relèverait d'un abus du pouvoir d'appréciation, dans la mesure où cela violerait le droit international coutumier. La référence doctrinale qu'il cite à l'appui de son affirmation (Matthias Härri, Commentaire bâlois CPP, 2014, n° 9 ad art. 237 CPP p. 1746) ne lui est cependant d'aucune aide. En effet, l'auteur cité rappelle uniquement que les autorités suisses ne sont pas habilitées à empêcher les autorités étrangères d'établir de nouveaux documents officiels - ce qui correspond à la jurisprudence constante (Donatsch/ Hansjakob/Lieber, Kommentar zur Schweizerischen Strafprozessordnung, 2ème édition 2014, n° 9 ad art. 237 et les réf.) - et que, dès lors, le dépôt du document étranger peut demeurer sans effet véritable sur la possibilité de quitter la Suisse. Cette réserve n'enlève rien au fait que le dépôt de pièces d'identité étrangères reste possible, mais que, pour ce motif, il entre moins en considération que lorsqu'il vise des documents suisses (Moreillon/ Parein-Reymond, Petit Commentaire, Code de procédure pénale, 2016, n. 17 ad art. 237 CPP p. 787). Le recourant perd d'ailleurs de vue que le dépôt d'une pièce d'identité étrangère constitue une mesure de substitution communément admise en droit suisse, déjà avant l'entrée en vigueur du Code de procédure pénale (cf. ATF 133 I 27 consid. 3.4 p. 31). Mal fondé, le grief doit être écarté.</w:t>
      </w:r>
    </w:p>
    <w:p>
      <w:r>
        <w:rPr>
          <w:b/>
        </w:rPr>
        <w:t>E. 5</w:t>
      </w:r>
    </w:p>
    <w:p>
      <w:r>
        <w:t>Il s'ensuit que le recours est rejeté. Dans la mesure où le recours paraissait d'emblée voué à l'échec, l'assistance judiciaire ne peut être accordée pour la procédure devant le Tribunal fédéral ( art. 64 al. 1 et 2 LTF ). Il convient cependant, dans les circonstances données, de renoncer à percevoir des frais judiciaires ( art. 66 al. 1, seconde phrase,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