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1B_210/2023 vom 12. Mai 2023</w:t>
      </w:r>
    </w:p>
    <w:p>
      <w:r>
        <w:t>Bundesgericht, 2023-05-12, FR</w:t>
      </w:r>
    </w:p>
    <w:p>
      <w:r>
        <w:rPr>
          <w:b/>
        </w:rPr>
        <w:t xml:space="preserve">Quelle: </w:t>
      </w:r>
      <w:r>
        <w:t>https://mcp.opencaselaw.ch/entscheid/bger_1B_210_2023</w:t>
      </w:r>
    </w:p>
    <w:p>
      <w:r>
        <w:t>FR: TF 1B_210/2023 du 12 mai 2023</w:t>
      </w:r>
    </w:p>
    <w:p>
      <w:r>
        <w:t>IT: TF 1B_210/2023 del 12 maggio 2023</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 Par ailleurs, à teneur de l' art. 99 LTF , aucun fait nouveau ni preuve nouvelle ne peut être présenté à moins de résulter de la décision de l'autorité précédente.</w:t>
      </w:r>
    </w:p>
    <w:p>
      <w:r>
        <w:t>A l'appui de son recours, le recourant produit notamment un extrait d'un article paru le 14 avril 2023 dans le quotidien "20 minutes", ainsi qu'un courrier du 24 avril 2023 dans lequel le ministère public informe l'avocat du recourant que la transmission de l'arrêt attaqué aux journalistes était justifiée au vu du large traitement médiatique de la détention de son mandant et des propos tenus par certains manifestants - ayant protesté contre cette détention devant le Palais de justice - qui avaient notamment déclaré aux médias qu'il s'agirait d'une "incarcération strictement politique". Ces deux documents sont postérieurs au prononcé de l'arrêt attaqué. Il s'agit donc de nova, qui échappent à la cognition du Tribunal fédéral ( ATF 143 V 19 consid. 1.2). Au demeurant, le recourant ne démontre pas, conformément aux exigences accrues de motivation précitées, en quoi ces éléments seraient pertinents pour l'issue du présent litige. Il n'en sera par conséquent pas tenu compte.</w:t>
      </w:r>
    </w:p>
    <w:p>
      <w:r>
        <w:t>Dans un grief intitulé "De l'appréciation arbitraire des faits", le recourant affirme que, par courrier du 23 mars 2023, il aurait signalé au ministère public qu'il ne s'opposait pas à l'exploitation des données disponibles sur les supports séquestrés pour la période du 1</w:t>
      </w:r>
    </w:p>
    <w:p>
      <w:r>
        <w:t>er décembre 2021 au 4 février 2022. Cet élément ne ressort toutefois pas de l'arrêt entrepris, ni des pièces produites par le recourant. Cet allégué est dès lors irrecevable et il n'y a pas lieu de s'écarter des faits retenus dans la décision attaquée.</w:t>
      </w:r>
    </w:p>
    <w:p>
      <w:r>
        <w:rPr>
          <w:b/>
        </w:rPr>
        <w:t>E. 3</w:t>
      </w:r>
    </w:p>
    <w:p>
      <w:r>
        <w:t>Le recourant reproche à la cour cantonale d'avoir violé son droit à une audience publique garanti par l' art. 6 par. 1 CEDH . Il met en avant le besoin d'un contrôle du public sur le travail des autorités judiciaires, en particulier dans un contexte politique de forte mobilisation à l'encontre du Groupe B.________. Il soutient qu'il existerait un intérêt public majeur à ce que la question de sa détention, pour avoir prétendument commis des infractions à l'encontre du Groupe B.________, fasse l'objet d'une audience publique.</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t>La critique du recourant est mal fondée dès lors que l' art. 6 CEDH ne s'applique pas en l'espèce. En effet, contrairement au juge du fond, le juge de la détention ne statue pas sur un acte d'accusation en matière pénale au sens de cette disposition (Message du 21 décembre 2005 relatif à l'unification du droit de la procédure pénale [ci-après: Message CPP-2005], FF 2006 p. 1130; cf. DANIEL LOGOS, in Jeanneret/Kuhn/ Perrier Depeursinge [éd.], Commentaire romand CPP, 2</w:t>
      </w:r>
    </w:p>
    <w:p>
      <w:r>
        <w:t>e éd. 2019, n° 21 ad art. 225 CPP ; BRÜSCHWEILER/NADIG/SCHNEEBELI, in Donatsch/ Lieber/Summers/Wohlers [éd.], Kommentar zur Schweizerischen Strafprozessordnung, 3</w:t>
      </w:r>
    </w:p>
    <w:p>
      <w:r>
        <w:t>e éd. 2020, n° 9 ad. art. 69 CPP ; cf. également ATF 114 Ia 182 consid. 3c; arrêts 1B_13/2013 du 17 avril 2013 consid. 3; 1P.625/1991 du 18 octobre 1991 consid. 2 in SJ 1992 188; 1P.558/1993 du 14 octobre 1993 consid. 2b).</w:t>
      </w:r>
    </w:p>
    <w:p>
      <w:r>
        <w:t>Pour le surplus, si le CPP prévoit que l'autorité de recours peut ordonner des débats, d'office ou à la demande d'une partie ( art. 390 al. 5 CPP ), la procédure de recours est en principe écrite (cf. art. 397 al. 1 CPP ; arrêts 1B_332/2019 du 24 juillet 2019 consid. 3.1; 1B_486/2018 du 22 novembre 2018 consid. 6.4; 1B_26/2017 du 8 février 2017 consid. 2.1). La tenue de débats doit ainsi demeurer exceptionnelle dans le cadre du recours (cf. arrêt 1B_332/2019 du 24 juillet 2019 consid. 3.1; Message CPP-2005, FF 2006 1297 ch. 2.9.2). En l'occurrence, le recourant a pu s'exprimer dans son mémoire de recours devant l'instance précédente sur les motifs de sa détention et il a eu la possibilité de se prononcer sur les déterminations des autorités précédentes. En l'occurrence, le recourant n'invoque aucun motif justifiant des débats au sens de l' art. 390 al. 5 CPP . Il a en particulier fait valoir son droit au silence tant devant la police que devant le ministère public. De plus, une audience publique à ce stade de l'instruction pourrait nuire à l'enquête dès lors que les éventuels coauteurs pourraient obtenir des informations sur la procédure avant d'avoir pu être identifiés et entendus.</w:t>
      </w:r>
    </w:p>
    <w:p>
      <w:r>
        <w:rPr>
          <w:b/>
        </w:rPr>
        <w:t>E. 4</w:t>
      </w:r>
    </w:p>
    <w:p>
      <w:r>
        <w:t>Le recourant ne remet pas en cause l'existence de charges suffisantes propres à justifier son placement en détention provisoire. En revanche, il conteste l'existence d'un risque de collusion. Il nie en substance la participation de tiers, précisant notamment que le gant litigieux retrouvé sur place appartient très certainement à une personne travaillant sur ce site. Il souligne que le prétendu risque qu'il influence les déclarations de tiers serait réduit, compte tenu du délai de 15 mois écoulés depuis les faits survenus le 4 janvier 2022, ainsi que de la médiatisation de sa détention; toute personne éventuellement impliquée aurait disposé du temps largement suffisant pour réduire les risques d'identification, voire se préparer à une éventuelle audition.</w:t>
      </w:r>
    </w:p>
    <w:p>
      <w:r>
        <w:rPr>
          <w:b/>
        </w:rPr>
        <w:t>E. 4.1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132 I 21 consid. 3.2).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 ATF 137 IV 122 consid. 4.2; 132 I 21 consid. 3.2.1).</w:t>
      </w:r>
    </w:p>
    <w:p>
      <w:r>
        <w:rPr>
          <w:b/>
        </w:rPr>
        <w:t>E. 4.2</w:t>
      </w:r>
    </w:p>
    <w:p>
      <w:r>
        <w:t>En l'espèce, comme l'a relevé la cour cantonale, le profil ADN d'une tierce personne prélevé sur un gant retrouvé à proximité de véhicules calcinés constitue, quoi qu'en dise le recourant, un indice que celui-ci n'était pas seul sur les lieux ce soir-là. Il ressort en outre des constatations non contestées de l'arrêt attaqué que le recourant s'était prévalu d'un appel diffusé sur internet après son arrestation, pressant tout "militant" à se débarrasser au plus vite de ce qui serait "incriminant". De plus, à ce stade de l'enquête, la cour cantonale pouvait tenir compte de la lettre envoyée au recourant à la prison de Champ-Dollon par son colocataire qui lui écrivait notamment qu'"on a trop pas vu le truc venir", laissant présager une pluralité de personnes impliquées. Au vu des éléments précités, mais également des nombreux dommages commis sur les lieux et du mobile politique manifeste de l'infraction - mobile reconnu par le recourant même s'il conteste être l'auteur de l'infraction -, la cour cantonale pouvait considérer qu'il était probable que ce dernier n'ait pas agi seul.</w:t>
      </w:r>
    </w:p>
    <w:p>
      <w:r>
        <w:t>En l'occurrence, l'analyse des téléphones portables et ordinateur du prévenu, actuellement en cours, doit permettre d'identifier les éventuels comparses du recourant. Compte tenu des investigations qui restent à mener, il convient d'éviter que le recourant, par une intervention directe, ne tente d'influencer les déclarations des personnes potentiellement impliquées ou qu'il fasse disparaître des preuves. Le recourant soutient, pour relativiser le risque de collusion que, au vu des informations parues dans la presse, les éventuels co-auteurs auraient eu l'occasion de se préparer. Il méconnaît cependant que la diffusion d'informations par les médias n'est pas comparable à une intervention directe du prévenu qui pourrait agir plus efficacement et se concerter avec d'autres personnes s'il était remis en liberté. Contrairement à ce que soutient le recourant, la cour cantonale pouvait retenir que son refus de faciliter tout accès à ses appareils électroniques participait au risque de collusion, tout comme le fait qu'il persistait à faire valoir son droit au silence. Le fait que plus de 15 mois se sont écoulés depuis les actes survenus en janvier 2022 n'est pas déterminant, puisque c'est seulement lors de son arrestation en mars 2023 que le recourant a été informé des soupçons pesant sur lui en rapport avec ces actes. Il pouvait en l'occurrence penser ne jamais être inquiété pour ces faits, comme cela ressort aussi du courrier précité du colocataire.</w:t>
      </w:r>
    </w:p>
    <w:p>
      <w:r>
        <w:t>Ainsi, il convient d'admettre que le risque de collusion demeure élevé et concret à ce stade de la procédure, étant relevé qu'au jour de l'arrêt attaqué la durée de la détention provisoire du recourant était inférieure à un mois. La cour cantonale pouvait dès lors, à bon droit, confirmer l'existence d'un risque de collusion. Il convient à cet égard de rappeler que les autorités pénales devront agir avec toute la célérité nécessaire (cf. art. 5 al. 2 CPP ).</w:t>
      </w:r>
    </w:p>
    <w:p>
      <w:r>
        <w:rPr>
          <w:b/>
        </w:rPr>
        <w:t>E. 4.3</w:t>
      </w:r>
    </w:p>
    <w:p>
      <w:r>
        <w:t>Enfin, le recourant se limite à affirmer qu'il est disposé, à titre subsidiaire, à se soumettre à des mesures de substitution, sous la forme d'une assignation à domicile, contrôlée par le port d'un bracelet électronique, avec déconnexion du wi-fi et interdiction de tout contact, si besoin vérifié par des contrôles de police. Il renouvelle ainsi les mesures déjà proposées devant l'instance précédente, sans toutefois discuter les motifs avancés par celle-ci dans l'arrêt attaqué. Avec l'instance précédente, force est de constater que les mesures proposées par le recourant ne sont pas propres à atténuer dans une mesure suffisante le risque de collusion défini ci-dessus. Il peut être renvoyé sur ce point à l'arrêt cantonal qui s'est prononcé à satisfaction de droit.</w:t>
      </w:r>
    </w:p>
    <w:p>
      <w:r>
        <w:rPr>
          <w:b/>
        </w:rPr>
        <w:t>E. 5</w:t>
      </w:r>
    </w:p>
    <w:p>
      <w:r>
        <w:t>Il s'ensuit que le recours est rejeté, dans la mesure où il est recevable.</w:t>
      </w:r>
    </w:p>
    <w:p>
      <w:r>
        <w:t>Le recourant a demandé l'octroi de l'assistance judiciaire ( art. 64 al. 1 LTF ). Cette requête doit cependant être rejetée. Le recourant n'apporte en effet pas la démonstration de son indigence. Il se limite en effet à affirmer que l'assistance judiciaire lui a été octroyée par le ministère public. L'appréciation du ministère public ne lie cependant pas le Tribunal fédéral, qui rend sa propre décision. Or, le recourant ne donne aucune indication sur ses revenus, sa fortune et/ou ses charges et ne produit a fortiori aucune pièce à l'appui de sa demande. Par ailleurs, on relèvera que l'obligation d'entretien des parents vis-à-vis de l'enfant majeur, n'ayant pas encore achevé sa formation, prévue à l' art. 277 al. 2 CC s'étend en principe également aux frais judiciaires (cf. ATF 127 I 202 consid. 3f). Or, le recourant ne donne aucune indication en lien avec la situation financière de ses parents. Dans ces conditions, le recourant, qui succombe, supportera les frais judiciaires ( art. 66 al. 1 LTF ), lesquels seront cependant exceptionnellement réduits afin de tenir compte qu'il se trouve en formation.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