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20/2019 vom 11. Januar 2019</w:t>
      </w:r>
    </w:p>
    <w:p>
      <w:r>
        <w:t>Bundesgericht, 2019-01-11, DE</w:t>
      </w:r>
    </w:p>
    <w:p>
      <w:r>
        <w:rPr>
          <w:b/>
        </w:rPr>
        <w:t xml:space="preserve">Quelle: </w:t>
      </w:r>
      <w:r>
        <w:t>https://mcp.opencaselaw.ch/entscheid/bger_1B_20_2019</w:t>
      </w:r>
    </w:p>
    <w:p>
      <w:r>
        <w:t>FR: TF 1B 20/2019 du 11 janvier 2019</w:t>
      </w:r>
    </w:p>
    <w:p>
      <w:r>
        <w:t>IT: TF 1B 20/2019 del 11 gennaio 2019</w:t>
      </w:r>
    </w:p>
    <w:p>
      <w:pPr>
        <w:pStyle w:val="Heading2"/>
      </w:pPr>
      <w:r>
        <w:t>Regeste</w:t>
      </w:r>
    </w:p>
    <w:p>
      <w:r>
        <w:t>Strafverfahren; amtliche Verteidigung | Strafprozess</w:t>
      </w:r>
    </w:p>
    <w:p>
      <w:pPr>
        <w:pStyle w:val="Heading2"/>
      </w:pPr>
      <w:r>
        <w:t>Erwägungen</w:t>
      </w:r>
    </w:p>
    <w:p>
      <w:r>
        <w:rPr>
          <w:b/>
        </w:rPr>
        <w:t>E. 1</w:t>
      </w:r>
    </w:p>
    <w:p>
      <w:r>
        <w:t>Die Staatsanwaltschaft IV des Kantons Zürich eröffnete im Oktober 2018 eine erneute Strafuntersuchung gegen A.________ wegen mehrfacher qualifizierter Entführung und versetzte ihn in Untersuchungshaft. Das Büro für amtliche Mandate der Oberstaatsanwaltschaft des Kantons Zürich bestellte ihm mit Verfügung vom 31. Oktober 2018 einen amtlichen Verteidiger. Dagegen erhob A.________ am 4. November 2018 Beschwerde, da er sich selbst verteidigen wolle. Die III. Strafkammer des Obergerichts des Kantons Zürich wies mit Beschluss vom 11. Dezember 2018 die Beschwerde ab. Zur Begründung führte die Strafkammer zusammenfassend aus, dass ein offensichtlicher Fall einer notwendigen Verteidigung im Sinne von Art. 130 lit. b StPO vorliege, weshalb A.________ zwingend ein Verteidiger beigegeben werden müsse.</w:t>
      </w:r>
    </w:p>
    <w:p>
      <w:r>
        <w:rPr>
          <w:b/>
        </w:rPr>
        <w:t>E. 2</w:t>
      </w:r>
    </w:p>
    <w:p>
      <w:r>
        <w:t>A.________ erhob mit Eingabe vom 21. Dezember 2018 Beschwerde bei der III. Strafkammer des Obergerichts des Kantons Zürich gegen deren Beschluss vom 11. Dezember 2018. Die III. Strafkammer überwies die Beschwerde mit Schreiben vom 8. Januar 2019 dem Bundesgericht zur weiteren Behandlung als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seinen nicht sachbezogenen Ausführungen überhaupt nicht mit der Begründung der III. Strafkammer auseinander, die zur Abweisung der Beschwerde führte. Er vermag folglich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