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1B_20/2017 vom 23. Februar 2017</w:t>
      </w:r>
    </w:p>
    <w:p>
      <w:r>
        <w:t>Bundesgericht, 2017-02-23, FR</w:t>
      </w:r>
    </w:p>
    <w:p>
      <w:r>
        <w:rPr>
          <w:b/>
        </w:rPr>
        <w:t xml:space="preserve">Quelle: </w:t>
      </w:r>
      <w:r>
        <w:t>https://mcp.opencaselaw.ch/entscheid/bger_1B_20_2017</w:t>
      </w:r>
    </w:p>
    <w:p>
      <w:r>
        <w:t>FR: TF 1B_20/2017 du 23 février 2017</w:t>
      </w:r>
    </w:p>
    <w:p>
      <w:r>
        <w:t>IT: TF 1B_20/2017 del 23 febbraio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Le recours - déposé en temps utile (art. 45 al. 1, 46 al. 1 let. c et 100 al. 1 LTF) - est dirigé contre une décision prise en dernière instance cantonale ( art. 80 LTF ), confirmant l'interdiction de postuler de l'avocat B.________ en faveur du recourant. Le recours est donc en principe recevable comme un recours en matière pénale au sens des art. 78 ss LTF (arrêt 1B_420/2011 du 21 novembre 2011 consid. 1.1).</w:t>
      </w:r>
    </w:p>
    <w:p>
      <w:r>
        <w:t>Le prononcé relatif à une interdiction de procéder constitue une décision incidente susceptible de causer un préjudice irréparable au recourant ( art. 93 al. 1 let. a LTF ; arrêt 1B_226/2016 du 15 septembre 2016 consid. 1 et les arrêts cités). En effet, ce prononcé le prive définitivement de pouvoir choisir l'avocat B.________ pour assurer la défense de ses intérêts dans la procédure pénale à l'origine de la présente cause. Le recourant, destinataire de la décision entreprise, a également un intérêt juridiquement protégé à l'annulation ou à la modification de la décision attaquée ( art. 81 al. 1 let. a et b LTF ); en effet, il se prévaut en substance de l'absence de violation de l' art. 12 let . c de la loi fédérale du 23 juin 2000 sur la libre circulation des avocats (LLCA; RS 935.61), dès lors que le mandat de la société intimée donné à son avocat a été résilié.</w:t>
      </w:r>
    </w:p>
    <w:p>
      <w:r>
        <w:t>Partant, il y a lieu d'entrer en matière.</w:t>
      </w:r>
    </w:p>
    <w:p>
      <w:r>
        <w:rPr>
          <w:b/>
        </w:rPr>
        <w:t>E. 1.2</w:t>
      </w:r>
    </w:p>
    <w:p>
      <w:r>
        <w:t>G.________, par l'intermédiaire de son conseil, a déposé deux écritures spontanées au cours de la procédure fédérale.</w:t>
      </w:r>
    </w:p>
    <w:p>
      <w:r>
        <w:t>S'il s'est certes déterminé - également de manière spontanée - au cours de la procédure cantonale, rien dans la décision attaquée ne permet de retenir que la qualité de partie lui aurait été reconnue devant l'instance précédente pour cette procédure incidente; l'arrêt cantonal ne lui a d'ailleurs été que "communiqué" et non pas "notifié". G.________ n'a pas été sollicité au cours de la procédure fédérale pour déposer des observations. Sa qualité de partie plaignante ne suffit pas pour lui conférer d'office la qualité pour agir lors de toutes les procédures incidentes qui peuvent intervenir au cours d'une procédure pénale. L'intéressé ne développe d'ailleurs aucune argumentation pour démontrer à quel titre il devrait être en l'occurrence autorisé à agir devant le Tribunal fédéral; en particulier, il ne démontre pas en quoi les risques découlant du conflit d'intérêts examiné viendraient péjorer sa propre position ou entraver ses droits de partie (arrêt 1B_149/2013 du 5 septembre 2013 consid. 2.4.2).</w:t>
      </w:r>
    </w:p>
    <w:p>
      <w:r>
        <w:t>Partant, les écritures de G.________ sont irrecevables.</w:t>
      </w:r>
    </w:p>
    <w:p>
      <w:r>
        <w:rPr>
          <w:b/>
        </w:rPr>
        <w:t>E. 2</w:t>
      </w:r>
    </w:p>
    <w:p>
      <w:r>
        <w:t>Dans un premier grief, le recourant se plaint d'arbitraire dans l'établissement des faits. Il soutient que la cour cantonale n'aurait pas retenu qu'il était l'unique administrateur de la société intimée et que dès lors celle-ci agissait nécessairement par ses soins, notamment quant au choix d'un même avocat.</w:t>
      </w:r>
    </w:p>
    <w:p>
      <w:r>
        <w:t>Peu importe cependant la situation qui prévalait au moment du dépôt de la plainte pénale. En effet, l'hypothèse d'un conflit d'intérêts peut survenir au cours de la procédure, notamment en raison de son évolution ou d'un changement de circonstances ( ATF 141 IV 257 consid. 2.2 p. 261). Tel est le cas en l'espèce vu la mise en prévention du recourant en septembre 2016.</w:t>
      </w:r>
    </w:p>
    <w:p>
      <w:r>
        <w:t>Ce grief peut par conséquent être écarté.</w:t>
      </w:r>
    </w:p>
    <w:p>
      <w:r>
        <w:rPr>
          <w:b/>
        </w:rPr>
        <w:t>E. 3</w:t>
      </w:r>
    </w:p>
    <w:p>
      <w:r>
        <w:t>Se prévalant d'arbitraire dans l'appréciation des faits et de violations de son droit d'être entendu, ainsi que du principe de présomption d'innocence, le recourant reproche à l'autorité cantonale d'avoir considéré que sa défense ne pouvait plus être assurée par l'avocat B.________; il soutient à cet égard qu'il n'existerait aucun conflit d'intérêts concret pour celui-ci dès lors que la société intimée avait résilié son mandat.</w:t>
      </w:r>
    </w:p>
    <w:p>
      <w:r>
        <w:rPr>
          <w:b/>
        </w:rPr>
        <w:t>E. 3.1</w:t>
      </w:r>
    </w:p>
    <w:p>
      <w:r>
        <w:t>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LLCA. Il s'agit en particulier du principe énoncé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141 IV 257 consid. 2.1 p. 260).</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consid. 2.1 p. 260 s.; voir arrêt 1B_354/2016 du 1er novembre 2016 consid. 3.1 pour des exemples). 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(arrêt 1B_293/2016 du 30 septembre 2016 consid. 2.1 et les nombreux arrêts cités). Dès que le conflit d'intérêts survient, l'avocat doit mettre fin à la représentation ( ATF 135 II 145 consid. 9.1 p. 154 s.; 134 II 108 consid. 4.2.1 p. 112).</w:t>
      </w:r>
    </w:p>
    <w:p>
      <w:r>
        <w:t>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et les références). Il y a aussi conflit d'intérêts au sens de la disposition susmentionnée dès que survient la possibilité d'utiliser, consciemment ou non, dans un nouveau mandat les connaissances acquises, sous couvert du secret professionnel, dans l'exercice d'un mandat antérieur (arrêt 1B_226/2016 du 15 septembre 2016 consid. 3.1 et les arrêts cités).</w:t>
      </w:r>
    </w:p>
    <w:p>
      <w:r>
        <w:rPr>
          <w:b/>
        </w:rPr>
        <w:t>E. 3.2</w:t>
      </w:r>
    </w:p>
    <w:p>
      <w:r>
        <w:t>En l'occurrence, l'avocat B.________ n'assure plus la défense de l'intimée, mais reste cependant le conseil du recourant, ancien administrateur de cette société.</w:t>
      </w:r>
    </w:p>
    <w:p>
      <w:r>
        <w:t>La résiliation du mandat par la société ne suffit pas pour considérer que celui en faveur du recourant serait à l'avenir dénué de tout risque de conflit d'intérêts par rapport à l'intimée. En effet, si l'avocat se prévaut d'éléments appris dans le cadre de son mandat pour cette dernière, il prend le risque de violer son secret professionnel vis-à-vis de celle-ci (cf. art. 13 LLCA ). S'il ne les utilise pas alors qu'ils pourraient servir à la défense du recourant, l'avocat est susceptible de violer ses obligations professionnelles en matière de diligence envers celui-ci. Il en découle que, même si l'un des mandats a été résilié, l'avocat B.________ ne peut pas s'investir pleinement et en toute indépendance en faveur du recourant.</w:t>
      </w:r>
    </w:p>
    <w:p>
      <w:r>
        <w:t>A cela s'ajoute le fait que le recourant et la société sont toujours parties dans la même procédure pénale. S'ils agissaient tout d'abord au même titre (partie plaignante), le premier a vu sa situation procédurale aggravée à la suite de sa mise en prévention. Or, les faits qui lui sont reprochés - certes contestés - pourraient avoir été commis au détriment de la seconde. Les intérêts des deux parties apparaissent dès lors divergents, voire opposés, et le risque de conflit d'intérêts ne peut plus être considéré comme uniquement abstrait. Il n'y a en outre pas lieu d'attendre que ce risque concret se réalise pour interdire à l'avocat B.________ de plaider dans la présente cause; peu importe dès lors que la société, respectivement l'administration de sa masse en faillite, n'ait pas à ce jour, dans le cadre de la procédure pénale (cf. art. 122 ss CPP ), pris des conclusions civiles à l'encontre du recourant.</w:t>
      </w:r>
    </w:p>
    <w:p>
      <w:r>
        <w:t>A toutes fins utiles et contrairement à ce que semble croire le recourant, les obligations découlant de la loi sur les avocats s'appliquent en toutes circonstances et pas uniquement s'il devait s'avérer que les soupçons à son égard seraient fondés. La cour cantonale n'avait dès lors à examiner ni les arguments soulevés avec les faits reprochés au recourant (défaut de connaissance des actes illicites commis par l'autre prévenu, absence de trace des fonds détournés dans les comptes de la société et dans ses propres déclarations d'impôts, dépositions faites par les témoins entendus), ni le refus du Ministère public de donner suite à une réquisition de preuve (production d'extraits de compte bancaires en lien notamment avec l'intimée), question sortant au demeurant de l'objet du litige.</w:t>
      </w:r>
    </w:p>
    <w:p>
      <w:r>
        <w:t>Au regard du risque concret de conflit d'intérêts, la Chambre des recours pénale n'a pas violé le droit fédéral, ni a fortiori fait preuve d'arbitraire, en confirmant l'interdiction de postuler prononcée par le Ministère public et ce grief peut être écarté.</w:t>
      </w:r>
    </w:p>
    <w:p>
      <w:r>
        <w:rPr>
          <w:b/>
        </w:rPr>
        <w:t>E. 4</w:t>
      </w:r>
    </w:p>
    <w:p>
      <w:r>
        <w:t>Il s'ensuit que le recours est rejeté.</w:t>
      </w:r>
    </w:p>
    <w:p>
      <w:r>
        <w:t>Le recourant, qui succombe, supporte les frais judiciaires ( art. 66 al. 1 LTF ). Il n'y a pas lieu d'allouer de dépens, G.________ n'ayant pas été invité à se déterminer et l'intimée n'ayant pas déposé d'observations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