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1B_20/2016 vom 4. Februar 2016</w:t>
      </w:r>
    </w:p>
    <w:p>
      <w:r>
        <w:t>Bundesgericht, 2016-02-04, FR</w:t>
      </w:r>
    </w:p>
    <w:p>
      <w:r>
        <w:rPr>
          <w:b/>
        </w:rPr>
        <w:t xml:space="preserve">Quelle: </w:t>
      </w:r>
      <w:r>
        <w:t>https://mcp.opencaselaw.ch/entscheid/bger_1B_20_2016</w:t>
      </w:r>
    </w:p>
    <w:p>
      <w:r>
        <w:t>FR: TF 1B_20/2016 du 4 février 2016</w:t>
      </w:r>
    </w:p>
    <w:p>
      <w:r>
        <w:t>IT: TF 1B_20/2016 del 4 febbraio 2016</w:t>
      </w:r>
    </w:p>
    <w:p>
      <w:pPr>
        <w:pStyle w:val="Heading2"/>
      </w:pPr>
      <w:r>
        <w:t>Erwägungen</w:t>
      </w:r>
    </w:p>
    <w:p>
      <w:r>
        <w:rPr>
          <w:b/>
        </w:rPr>
        <w:t>E. 1</w:t>
      </w:r>
    </w:p>
    <w:p>
      <w:r>
        <w:t>Le recours en matière pénale ( art. 78 al. 1 LTF ) est ouvert contre les décisions relatives à la détention provisoire ou pour des motifs de sûreté au sens des art. 212 ss CPP . Le recours a été formé dans le délai fixé à l' art. 100 al. 1 LTF contre une décision prise en dernière instance cantonale ( art. 80 LTF ). Le recourant, dont le maintien en détention a été confirmé, a qualité pour recourir (art. 81 al. 1 let. a et b ch. 1 LTF) et les conclusions présentées sont recevables au regard de l' art. 107 al. 2 LTF . Il y a donc lieu d'entrer en matière.</w:t>
      </w:r>
    </w:p>
    <w:p>
      <w:r>
        <w:rPr>
          <w:b/>
        </w:rPr>
        <w:t>E. 2</w:t>
      </w:r>
    </w:p>
    <w:p>
      <w:r>
        <w:t>Le recourant se plaint tout d'abord à l'autorité précédente d'une violation de son droit d'être entendu. Il soutient en substance qu'elle n'aurait pas motivé le risque de collusion retenu; elle n'aurait ainsi pas mentionné pour quelle personne et pour quelle raison, ce danger existerait concrètement.</w:t>
      </w:r>
    </w:p>
    <w:p>
      <w:r>
        <w:t>Il ressort toutefois de l'arrêt cantonal que le risque de collusion ne concerne pas "uniquement [...] des acheteurs en l'état inconnus, mais déjà ceux qui ont proféré à l'encontre du recourant des accusations précises et dont l'identité est confirmée". La juridiction précédente a ainsi expliqué qui pouvait être concerné par le risque de collusion (acheteurs et accusateurs; cf. consid. 3c du jugement entrepris). Quant aux raisons permettant de retenir ce danger, elles découlent - certes en partie implicitement - des qualités de ces personnes, des auditions de confrontation à venir et du trafic de drogue reproché au recourant. Partant, ce grief doit être rejeté.</w:t>
      </w:r>
    </w:p>
    <w:p>
      <w:r>
        <w:rPr>
          <w:b/>
        </w:rPr>
        <w:t>E. 3</w:t>
      </w:r>
    </w:p>
    <w:p>
      <w:r>
        <w:t>Devant le Tribunal fédéral, le recourant ne remet en cause ni le refus de désigner son mandataire en tant qu'avocat d'office, ni les charges suffisantes pesant à son encontre. Il ne soutient pas non plus que des mesures de substitution permettraient, le cas échéant, de pallier le danger de collusion retenu ( art. 237 CPP ) ou que la détention subie violerait le principe de proportionnalité ( art. 36 al. 3 Cst. et 197 al. 1 let. c CPP).</w:t>
      </w:r>
    </w:p>
    <w:p>
      <w:r>
        <w:t>En revanche, il reproche à la cour cantonale d'avoir retenu l'existence d'un risque de collusion. Il nie notamment avoir admis que celui-ci puisse exister et prétend que, dès lors que les personnes à entendre ne seraient pas connues, ce danger ne serait que théorique.</w:t>
      </w:r>
    </w:p>
    <w:p>
      <w:r>
        <w:rPr>
          <w:b/>
        </w:rPr>
        <w:t>E. 3.1</w:t>
      </w:r>
    </w:p>
    <w:p>
      <w:r>
        <w:t>Le maintien du prévenu en détention peut être justifié par l'intérêt public lié aux besoins de l'instruction en cours, par exemple lorsqu'il est à craindre que l'intéressé mette sa liberté à profit pour compromettre la recherche de la vérité en exerçant une influence sur des personnes ou en altérant des moyens de preuves ( art. 221 al. 1 let. b CPP ). L'autorité doit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 ATF 137 IV 122 consid. 4.2 p. 127 s.; 132 I 21 consid. 3.2 p. 23 et les références citées).</w:t>
      </w:r>
    </w:p>
    <w:p>
      <w:r>
        <w:rPr>
          <w:b/>
        </w:rPr>
        <w:t>E. 3.2</w:t>
      </w:r>
    </w:p>
    <w:p>
      <w:r>
        <w:t>En l'espèce, le risque de collusion n'est pas uniquement théorique puisque le recourant n'a pas encore été confronté aux quatre personnes l'ayant mis en cause (cf. consid. 3b et 3c de l'arrêt attaqué). Il ne le conteste d'ailleurs pas et ne prétend pas que cette situation ne serait pas susceptible de compromettre la recherche de la vérité. Pour ces mêmes motifs, tout grief en lien avec une possible constatation arbitraire des faits peut être exclu. Certes, le recourant ne reconnaît pas expressément le risque de collusion. Cependant, en relevant les seules confrontations effectuées au jour du jugement cantonal avec deux tierces personnes, il reconnaît - de manière implicite peut-être - qu'il n'ignore dès lors pas que d'autres auditions vont être organisées très prochainement, en particulier avec les quatre accusateurs susmentionnés.</w:t>
      </w:r>
    </w:p>
    <w:p>
      <w:r>
        <w:t>De plus, la nature de l'infraction examinée (trafic de drogue) ne peut être ignorée. Ce chef de prévention induit généralement l'implication d'un grand nombre de personnes, avec des rôles plus ou moins importants. L'organisation des auditions et/ou des confrontations en découlant a donc nécessairement un impact sur la durée de l'instruction, ainsi que d'ailleurs, le cas échéant, sur l'existence d'un risque de collusion (arrêt 1B_343/2014 du 29 octobre 2014 consid. 2.2 et 3). Or, en l'espèce, des mesures d'instruction - dont le contrôle rétroactif des communications téléphoniques du recourant - sont en cours et visent notamment à identifier d'éventuels membres du possible réseau développé par celui-ci. Dans ces circonstances spécifiques et au stade encore initial de l'enquête - dont la célérité du déroulement n'est plus contestée -, il se justifie de pouvoir empêcher d'éventuels contacts entre le recourant et ses acheteurs et/ou fournisseurs potentiels. Le défaut actuel d'information sur ces personnes ne viole pas non plus les droits de la défense puisque le recourant ne soutient pas avoir été confronté en audience à une personne dont l'identité ne lui aurait pas été communiquée préalablement (arrêt 1B_24/1014 du 25 juin 2014 consid. 2.2).</w:t>
      </w:r>
    </w:p>
    <w:p>
      <w:r>
        <w:t>Partant, la Chambre pénale n'a pas violé le droit fédéral en retenant l'existence d'un risque de collusion et ce grief doit être rejeté.</w:t>
      </w:r>
    </w:p>
    <w:p>
      <w:r>
        <w:rPr>
          <w:b/>
        </w:rPr>
        <w:t>E. 4</w:t>
      </w:r>
    </w:p>
    <w:p>
      <w:r>
        <w:t>Il s'ensuit que le recours est rejeté. L'arrêt cantonal confirmant le maintien en détention provisoire ordonné par le Tmc le 15 décembre 2015 est confirmé.</w:t>
      </w:r>
    </w:p>
    <w:p>
      <w:r>
        <w:t>Le recourant,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