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1B_20/2012 vom 1. Februar 2012</w:t>
      </w:r>
    </w:p>
    <w:p>
      <w:r>
        <w:t>Bundesgericht, 2012-02-01, DE</w:t>
      </w:r>
    </w:p>
    <w:p>
      <w:r>
        <w:rPr>
          <w:b/>
        </w:rPr>
        <w:t xml:space="preserve">Quelle: </w:t>
      </w:r>
      <w:r>
        <w:t>https://mcp.opencaselaw.ch/entscheid/bger_1B_20_2012</w:t>
      </w:r>
    </w:p>
    <w:p>
      <w:r>
        <w:t>FR: TF 1B_20/2012 du 1 février 2012</w:t>
      </w:r>
    </w:p>
    <w:p>
      <w:r>
        <w:t>IT: TF 1B_20/2012 del 1 febbraio 2012</w:t>
      </w:r>
    </w:p>
    <w:p>
      <w:pPr>
        <w:pStyle w:val="Heading2"/>
      </w:pPr>
      <w:r>
        <w:t>Erwägungen</w:t>
      </w:r>
    </w:p>
    <w:p>
      <w:r>
        <w:rPr>
          <w:b/>
        </w:rPr>
        <w:t>E. 1</w:t>
      </w:r>
    </w:p>
    <w:p>
      <w:r>
        <w:t>Angefochten ist der kantonal letztinstanzliche Haftentscheid des Appellationsgerichtspräsidenten. Dagegen ist die Beschwerde in Strafsachen nach den Art. 78 ff. BGG gegeben. Der Antrag auf Aufhebung des angefochtenen Entscheids und Haftentlassung ist zulässig ( BGE 132 I 21 E. 1). Die Beschwerdeführerin ist durch die Verweigerung der Haftentlassung in ihren rechtlich geschützten Interessen betroffen und damit zur Beschwerde befugt ( Art. 81 Abs. 1 BGG ). Sie macht die Verletzung von Bundesrecht geltend, was zulässig ist ( Art. 95 lit. a BGG ). Die weiteren Sachurteilsvoraussetzungen geben zu keinen Bemerkungen Anlass, sodass auf die Beschwerde eingetreten werden kann.</w:t>
      </w:r>
    </w:p>
    <w:p>
      <w:r>
        <w:rPr>
          <w:b/>
        </w:rPr>
        <w:t>E. 2</w:t>
      </w:r>
    </w:p>
    <w:p>
      <w:r>
        <w:t>Sicherheitshaft kann unter anderem angeordnet werden, wenn ein dringender Tatverdacht in Bezug auf ein Verbrechen oder Vergehen sowie Flucht-, Kollusions- oder Wiederholungsgefahr besteht ( Art. 221 Abs. 1 StPO ). Für den Appellationsgerichtspräsidenten besteht Fluchtgefahr, einerseits weil der Strafantrag der Staatsanwältin mit 5 ¾ Jahren weit über der erstinstanzlichen Strafe liege und anderseits die Wohnsitzverhältnisse der Beschwerdeführerin unklar seien.</w:t>
      </w:r>
    </w:p>
    <w:p>
      <w:r>
        <w:rPr>
          <w:b/>
        </w:rPr>
        <w:t>E. 2.1</w:t>
      </w:r>
    </w:p>
    <w:p>
      <w:r>
        <w:t>Unstrittig und seit der Verurteilung vom 19. Dezember 2011 unbestreitbar ist, dass der allgemeine Haftgrund des dringenden Tatverdachts gegeben ist.</w:t>
      </w:r>
    </w:p>
    <w:p>
      <w:r>
        <w:rPr>
          <w:b/>
        </w:rPr>
        <w:t>E. 2.2</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w:t>
      </w:r>
    </w:p>
    <w:p>
      <w:r>
        <w:rPr>
          <w:b/>
        </w:rPr>
        <w:t>E. 2.2.1</w:t>
      </w:r>
    </w:p>
    <w:p>
      <w:r>
        <w:t>Das Strafgericht hat die Beschwerdeführerin zwar anklagegemäss wegen Verstosses gegen Art. 19 Abs. 2 lit. a und b BetmG verurteilt. Anders als die Staatsanwältin geht es aber offenbar nicht davon aus, dass die Beschwerdeführerin auch an weiteren Drogentransporten beteiligt war, im Dispositiv ist der Vorwurf der mehrfachen Begehung nicht enthalten. Jedenfalls hat sich die Beschwerdeführerin nach der Überzeugung des Strafgerichts entgegen ihrer Beteuerung zwar strafbar gemacht, jedoch einen weit geringeren Tatbeitrag geleistet als von der Anklage angenommen. Ohne Kenntnis der Urteilsgründe lässt sich nicht schlüssig beurteilen, ob das Strafgericht die Beschwerdeführerin zu Recht verurteilt und angemessen bestraft hat. Allerdings darf nicht leichthin davon ausgegangen werden, dass das Urteil völlig unhaltbar ist und das Strafgericht die Beschwerdeführerin hätte freisprechen oder aber zu einer weit höheren Strafe hätte verurteilen müssen. Es werden jedenfalls von keiner Seite konkrete Einwände gegen die erstinstanzliche Beweiswürdigung oder die Strafzumessung erhoben, die geeignet wären, das Strafgerichtsurteil als von vornherein fehlerhaft erscheinen zu lassen. Die Beurteilung des Appellationsgerichtspräsidenten, der die Berufung der Beschwerdeführerin ausblendet und allein mit Blick auf den hohen Strafantrag der Staatsanwältin davon ausgeht, die Beschwerdeführerin habe im Berufungsverfahren nichts zu gewinnen und viel zu verlieren, weshalb von einem starken Fluchtanreiz auszugehen sei, erscheint jedenfalls etwas einseitig und wird der Sachlage nicht hinreichend gerecht. Es ist keineswegs ausgeschlossen, dass die Beschwerdeführerin mit ihrem Standpunkt weitgehend durchdringt oder wenigstens die von der Staatsanwältin geforderte, weit strengere Verurteilung abwenden kann. Ihre Erfolgsaussichten würde sie allerdings stark beeinträchtigen, wenn sie der Berufungsverhandlung unentschuldigt fernbleiben und darauf verzichten sollte, dem Appellationsgericht ihre Sicht der Dinge persönlich vorzutragen. Es liegt somit objektiv in ihrem vorrangigen Interesse, sich dem Verfahren zu stellen und nicht unterzutauchen.</w:t>
      </w:r>
    </w:p>
    <w:p>
      <w:r>
        <w:rPr>
          <w:b/>
        </w:rPr>
        <w:t>E. 2.2.2</w:t>
      </w:r>
    </w:p>
    <w:p>
      <w:r>
        <w:t>Zutreffend ist sodann, dass die Beschwerdeführerin ein eher unstetes Leben zwischen der Schweiz, Italien, Holland und der Dominikanischen Republik führt. Zurzeit gibt sie an, in Grenchen bei ihrer Mutter zu wohnen, wobei sie sich offenbar nicht korrekt angemeldet hat. Immerhin ist davon auszugehen, dass sich die Beschwerdeführerin vorzugsweise in der Schweiz (wo sie auch Arbeitslosenunterstützung bezog), Italien und Holland aufhält und damit in Ländern, in denen sie sich auf Dauer der Verbüssung einer von einem schweizerischen Gericht ausgesprochenen Freiheitsstrafe kaum entziehen könnte. Es besteht somit zwar durchaus die Möglichkeit, dass die Beschwerdeführerin in Freiheit versuchen könnte, sich einem allfälligen Zugriff der schweizerischen Strafbehörden zu entziehen, sehr wahrscheinlich ist dies allerdings nicht. Damit ist eine die Fortführung der Sicherheitshaft rechtfertigende Fluchtgefahr zu relativieren.</w:t>
      </w:r>
    </w:p>
    <w:p>
      <w:r>
        <w:rPr>
          <w:b/>
        </w:rPr>
        <w:t>E. 2.3</w:t>
      </w:r>
    </w:p>
    <w:p>
      <w:r>
        <w:t>Die Fortführung der Sicherheitshaft ist im Übrigen auch unter dem Gesichtspunkt der Verhältnismässigkeit fragwürdig. Diese darf nach der Rechtsprechung nur solange erstreckt werden, bis ihre Dauer in grosse Nähe der zu erwartenden Strafe rückt; dies auch deshalb, weil ansonsten das erkennende Gericht versucht sein könnte, die Dauer der erstandenen Haft bei der Strafzumessung mitzuberücksichtigen ( BGE 133 I 168 E. 4.1 mit Hinweisen). Die bisher von der Beschwerdeführerin erstandene Haft von 10 Monaten erscheint zwar von ihrer absoluten Dauer her noch nicht unverhältnismässig. Auch wenn die Möglichkeit des bedingten Strafvollzugs in der Regel bei der Beurteilung der Verhältnismässigkeit nicht zu berücksichtigen ist, so kann in der vorliegenden Konstellation doch nicht einfach ausgeblendet werden, dass die Beschwerdeführerin vom Strafgericht zu einer bedingten Freiheitsstrafe verurteilt wurde, die nun faktisch in eine unbedingte umgewandelt wird, jedenfalls wenn die Sicherheitshaft nach erklärter Absicht der Staatsanwältin bis zur Berufungsverhandlung, mit der wohl bestenfalls in mehreren Monaten gerechnet werden kann, fortgesetzt werden soll. Das wäre auch unter dem Gesichtspunkt der Verhältnismässigkeit kaum zu rechtfertigen.</w:t>
      </w:r>
    </w:p>
    <w:p>
      <w:r>
        <w:rPr>
          <w:b/>
        </w:rPr>
        <w:t>E. 3</w:t>
      </w:r>
    </w:p>
    <w:p>
      <w:r>
        <w:t>Damit erweist sich die Fortsetzung der Sicherheitshaft, um der Fluchtgefahr zu begegnen, als unzulässig; dem Fluchtrisiko kann mit geeigneten Ersatzmassnahmen ( Art. 237 StPO ) Rechnung getragen werden. Die Beschwerde ist daher gutzuheissen und der angefochtene Entscheid aufzuheben. Ausdrücklich offen gelassen hat der Appellationsgerichtspräsident allerdings, ob Kollusionsgefahr vorliege, obgleich er die Vorbringen der Staatsanwältin zu ihrem Nachweis als "relativ vage" beurteilte. Die Angelegenheit ist unter diesen Umständen an den Appellationsgerichtspräsidenten zurückzuweisen zur Prüfung, ob allenfalls Kollusionsgefahr eine Fortsetzung der Sicherheitshaft erheischt. Sollte das nicht der Fall sein, wird er angewiesen, die Beschwerdeführerin innert kurzer Frist aus der Haft zu entlassen und verbleibenden Bedenken mit der Anordnung geeigneter Ersatzmassnahmen im Sinn von Art. 237 Abs. 2 StPO Rechnung zu tragen; mit einem solchen Vorgehen hat sich die Beschwerdeführerin ausdrücklich einverstanden erklärt (Beschwerde S. 10, 1. Absatz/letzter Satz).</w:t>
      </w:r>
    </w:p>
    <w:p>
      <w:r>
        <w:t>Bei diesem Ausgang des Verfahrens sind keine Kosten zu erheben ( Art. 66 Abs. 4 BGG ). Hingegen hat der Kanton Basel-Stadt der Beschwerdeführerin eine angemessene Parteientschädigung zu bezahlen ( Art. 68 Abs. 1 und 2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