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209/2023 vom 24. April 2023</w:t>
      </w:r>
    </w:p>
    <w:p>
      <w:r>
        <w:t>Bundesgericht, 2023-04-24, DE</w:t>
      </w:r>
    </w:p>
    <w:p>
      <w:r>
        <w:rPr>
          <w:b/>
        </w:rPr>
        <w:t xml:space="preserve">Quelle: </w:t>
      </w:r>
      <w:r>
        <w:t>https://mcp.opencaselaw.ch/entscheid/bger_1B_209_2023</w:t>
      </w:r>
    </w:p>
    <w:p>
      <w:r>
        <w:t>FR: TF 1B 209/2023 du 24 avril 2023</w:t>
      </w:r>
    </w:p>
    <w:p>
      <w:r>
        <w:t>IT: TF 1B 209/2023 del 24 aprile 2023</w:t>
      </w:r>
    </w:p>
    <w:p>
      <w:pPr>
        <w:pStyle w:val="Heading2"/>
      </w:pPr>
      <w:r>
        <w:t>Regeste</w:t>
      </w:r>
    </w:p>
    <w:p>
      <w:r>
        <w:t>Strafverfahren; Bestellung amtliche Verteidigung | Strafprozess</w:t>
      </w:r>
    </w:p>
    <w:p>
      <w:pPr>
        <w:pStyle w:val="Heading2"/>
      </w:pPr>
      <w:r>
        <w:t>Erwägungen</w:t>
      </w:r>
    </w:p>
    <w:p>
      <w:r>
        <w:rPr>
          <w:b/>
        </w:rPr>
        <w:t>E. 1</w:t>
      </w:r>
    </w:p>
    <w:p>
      <w:r>
        <w:t>Die Oberstaatsanwaltschaft des Kantons Zürich, Staatsanwalt für amtliche Mandate, bestellte mit Verfügung vom 1. November 2022 Rechtsanwalt B.________ als amtlichen Verteidiger von A.________. Dagegen erhob A.________ mit Eingabe vom 10. November 2022 Beschwerde, auf welche die III. Strafkammer des Obergerichts des Kantons Zürich mit Beschluss vom 8. März 2023 nicht eintrat, da die Beschwerdeschrift den gesetzlichen Anforderungen nicht entsprach.</w:t>
      </w:r>
    </w:p>
    <w:p>
      <w:r>
        <w:rPr>
          <w:b/>
        </w:rPr>
        <w:t>E. 2</w:t>
      </w:r>
    </w:p>
    <w:p>
      <w:r>
        <w:t>A.________ wandte sich mit Eingabe vom 14. April 2023 an die III. Strafkammer des Obergerichts des Kantons Zürich und lehnte deren Beschluss vom 8. März 2023 ab. Mit Schreiben vom 20. April 2023 überwies die III. Strafkammer die Eingabe vom 14. April 2023 dem Bundesgericht zur allfälligen Behandlung als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setzt sich mit der Begründung der III. Strafkammer, die zum Nichteintreten auf seine Beschwerde führte, nicht auseinander. Mit seinen Ausführungen legt er nicht dar,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