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1B_209/2019 vom 19. September 2019</w:t>
      </w:r>
    </w:p>
    <w:p>
      <w:r>
        <w:t>Bundesgericht, 2019-09-19, FR</w:t>
      </w:r>
    </w:p>
    <w:p>
      <w:r>
        <w:rPr>
          <w:b/>
        </w:rPr>
        <w:t xml:space="preserve">Quelle: </w:t>
      </w:r>
      <w:r>
        <w:t>https://mcp.opencaselaw.ch/entscheid/bger_1B_209_2019</w:t>
      </w:r>
    </w:p>
    <w:p>
      <w:r>
        <w:t>FR: TF 1B_209/2019 du 19 septembre 2019</w:t>
      </w:r>
    </w:p>
    <w:p>
      <w:r>
        <w:t>IT: TF 1B_209/2019 del 19 settembre 2019</w:t>
      </w:r>
    </w:p>
    <w:p>
      <w:pPr>
        <w:pStyle w:val="Heading2"/>
      </w:pPr>
      <w:r>
        <w:t>Erwägungen</w:t>
      </w:r>
    </w:p>
    <w:p>
      <w:r>
        <w:rPr>
          <w:b/>
        </w:rPr>
        <w:t>E. 1</w:t>
      </w:r>
    </w:p>
    <w:p>
      <w:r>
        <w:t>Les deux recours sont formés contre la même décision et contiennent des développements ainsi que des conclusions similaires. Il se justifie dès lors de joindre les causes 1B_209/2019 et 1B_212/2019 pour des motifs d'économie de procédure, et de statuer à leur sujet dans un seul arrêt (cf. art. 24 PCF applicable par analogie vu le renvoi de l' art. 71 LTF ).</w:t>
      </w:r>
    </w:p>
    <w:p>
      <w:r>
        <w:rPr>
          <w:b/>
        </w:rPr>
        <w:t>E. 2.1</w:t>
      </w:r>
    </w:p>
    <w:p>
      <w:r>
        <w:t>L'interdiction de postuler prononcée par la cour cantonale n'ayant d'effet que sur la procédure pénale actuellement menée par les autorités pénales valaisannes, la procuration produite par la recourante F.________, désignant l'avocat E.________ comme son mandataire pour la procédure au Tribunal fédéral, est valable (cf. art. 40 al. 2 LTF ).</w:t>
      </w:r>
    </w:p>
    <w:p>
      <w:r>
        <w:rPr>
          <w:b/>
        </w:rPr>
        <w:t>E. 2.2</w:t>
      </w:r>
    </w:p>
    <w:p>
      <w:r>
        <w:t>Les recours sont dirigés contre une décision prise en dernière instance cantonale ( art. 80 LTF ), interdisant au recourant E.________ de représenter la recourante F.________ dans la procédure pénale l'opposant à l'intimée. Les recours sont donc en principe recevables comme des recours en matière pénale au sens des art. 78 ss LTF (arrêts 1B_510/2018 du 14 mars 2019 consid. 1 non publié aux ATF 145 IV 218 ; 1B_20/2017 du 23 février 2017 consid. 1.1), nonobstant la dénomination inexacte du recours formé par E.________.</w:t>
      </w:r>
    </w:p>
    <w:p>
      <w:r>
        <w:t>En tant qu'elle prive définitivement la recourante F.________ de pouvoir choisir l'avocat E.________ pour assurer la défense de ses intérêts (cf. art. 127 al. 1 CPP ), l'ordonnance attaquée constitue une décision incidente susceptible de lui causer un préjudice irréparable (arrêt 1B_510/2018 du 14 mars 2019 consid. 1). Le recours de E.________ est également recevable, la décision attaquée présentant, pour lui, un caractère final ( art. 90 LTF ; arrêts 1B_354/2016 du 1er novembre 2016 consid. 1; 1B_226/2016 du 15 septembre 2016 consid. 1).</w:t>
      </w:r>
    </w:p>
    <w:p>
      <w:r>
        <w:t>En outre, dans la mesure où les recourants se prévalent d'une violation de l' art. 12 let . c de la loi fédérale du 23 juin 2000 sur la libre circulation des avocats (LLCA; RS 935.61) ainsi que respectivement, pour la recourante F.________, du droit d'être défendu par l'avocat de son choix ( art. 6 ch. 3 let . c CEDH) et, pour le recourant E.________, d'une violation de la liberté économique ( art. 27 Cst. ), il y a lieu d'admettre que les recourants disposent chacun d'un intérêt juridiquement protégé à l'annulation ou à la modification de la décision attaquée ( art. 81 al. 1 let. a et b LTF ), intérêt qui demeure actuel et pratique compte tenu des violations invoquées. Ainsi, on ne voit pas, contrairement à ce que soutient l'intimée, que les recours soient dépourvus d'objet par le fait que la recourante F.________ aurait déjà mandaté un nouvel avocat dans le cadre de la procédure pénale.</w:t>
      </w:r>
    </w:p>
    <w:p>
      <w:r>
        <w:rPr>
          <w:b/>
        </w:rPr>
        <w:t>E. 2.3</w:t>
      </w:r>
    </w:p>
    <w:p>
      <w:r>
        <w:t>Pour le surplus, les recours ont été déposés en temps utile ( art. 100 al. 1 LTF ) et les conclusions prises sont recevables ( art. 107 al. 2 LTF ).</w:t>
      </w:r>
    </w:p>
    <w:p>
      <w:r>
        <w:rPr>
          <w:b/>
        </w:rPr>
        <w:t>E. 3</w:t>
      </w:r>
    </w:p>
    <w:p>
      <w:r>
        <w:t>Selon l' art. 99 al. 1 LTF , aucun fait nouveau ni preuve nouvelle ne peut être présenté à moins de résulter de la décision de l'autorité précédente. En l'espèce, faute de résulter de l'ordonnance attaquée, le courrier du 17 janvier 2019 du juge du district de l'Entremont produit par E.________ à l'appui de son recours ne peut pas être pris en considération par le Tribunal fédéral.</w:t>
      </w:r>
    </w:p>
    <w:p>
      <w:r>
        <w:t>Il en va de même des pièces produites par l'intimée qui sont postérieures à l'arrêt attaqué, telles que la décision du 17 mai 2019 du juge du district de l'Entremont prononçant l'interdiction pour E.________ de postuler pour F.________ dans le cadre des procédures civiles pendantes devant cette autorité, ainsi que la décision du 8 juillet 2019 de la Chambre civile du Tribunal cantonal valaisan déclarant sans objet le recours formé par E.________ et F.________ contre la décision du 17 mai 2019. Ces pièces, de même que les faits qui en découlent, sont nouveaux au sens de l' art. 99 LTF et, partant, irrecevables.</w:t>
      </w:r>
    </w:p>
    <w:p>
      <w:r>
        <w:rPr>
          <w:b/>
        </w:rPr>
        <w:t>E. 4</w:t>
      </w:r>
    </w:p>
    <w:p>
      <w:r>
        <w:t>Les recourants invoquent une violation de l' art. 12 let . c LLCA. Ils contestent que l'existence d'un précédent mandat exercé par E.________ pour le compte de la société A.________ SA - devenue G.________ SA - soit suffisante pour considérer qu'il existe des risques concrets d'un conflit d'intérêts dans le cadre de son mandat de défenseur de F.________ dans la procédure pénale dirigée contre celle-ci.</w:t>
      </w:r>
    </w:p>
    <w:p>
      <w:r>
        <w:rPr>
          <w:b/>
        </w:rPr>
        <w:t>E. 4.1.1</w:t>
      </w:r>
    </w:p>
    <w:p>
      <w:r>
        <w:t>L'autorité en charge de la procédure statue d'office et en tout temps sur la capacité de postuler d'un mandataire professionnel ( ATF 141 IV 257 consid. 2.2 p. 261; arrêt 1B_149/2013 du 5 septembre 2013 consid. 2.4.2). En effet, l'interdiction de postuler dans un cas concret - à distinguer d'une suspension provisoire ou définitive - ne relève en principe pas du droit disciplinaire, mais du contrôle du pouvoir de postuler de l'avocat ( ATF 138 II 162 consid. 2.5.1 p. 168; arrêt 1B_226/2016 du 15 septembre 2016 consid. 2).</w:t>
      </w:r>
    </w:p>
    <w:p>
      <w:r>
        <w:t>Dans les règles relatives aux conseils juridiques, l' art. 127 al. 4 CPP réserve la législation sur les avocats. L' art. 12 let . c LLCA prescrit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 Elle doit également être abordée en relation avec l' art. 13 LLCA qui a trait au secret professionnel de l'avocat ( ATF 145 IV 218 consid. 2.1 p. 221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141 IV 257 consid. 2.1 p. 260).</w:t>
      </w:r>
    </w:p>
    <w:p>
      <w:r>
        <w:rPr>
          <w:b/>
        </w:rPr>
        <w:t>E. 4.1.2</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consid. 2.1 p. 222 et les références citées). Le devoir de fidélité exclut a fortiori que l'avocat procède contre un client actuel ( ATF 145 IV 218 consid. 2.1 p. 222 s.; 134 II 108 consid. 5.2 p. 115).</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 ATF 135 II 145 consid. 9.1 p. 154 s.; 134 II 108 consid. 4.2.1 p. 112).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consid. 2.1 p. 223; arrêt 2C_898/2018 du 30 janvier 2019 consid. 5.2).</w:t>
      </w:r>
    </w:p>
    <w:p>
      <w:r>
        <w:rPr>
          <w:b/>
        </w:rPr>
        <w:t>E. 4.2</w:t>
      </w:r>
    </w:p>
    <w:p>
      <w:r>
        <w:t>Il apparaît vraisemblable, comme l'a relevé la cour cantonale, que le recourant E.________ ait obtenu, durant son premier mandat et sous protection du secret professionnel, des renseignements sur la situation financière de la société et son fonctionnement interne. S'il n'est pas établi que l'intéressé dispose de renseignements allant au-delà de ce que pourrait lui transmettre en l'état la recourante F.________, il a toutefois pu avoir été en contact avec la société, par l'intermédiaire d'autres personnes, telles que des administrateurs, directeurs ou employés, que sa seule cliente, de sorte qu'il aurait pu, durant la période qui a précédé la faillite, prendre connaissance d'informations que sa cliente ne serait pas en mesure de lui communiquer. Cette éventualité est d'autant plus concrète que le recourant E.________ était le mandataire de la société faillie en 2013 et 2014, soit lors de la période pendant laquelle il était notamment reproché à la recourante F.________ ainsi qu'à une autre administratrice d'avoir vidé la substance de la société au profit d'une société nouvellement créée. On déduit du reste de l'ordonnance entreprise que le mandat en question portait sur un important litige commercial relatif à des marchandises livrées près de 10 ans auparavant, dont la valeur litigieuse - plus de 400'000 fr. - laisse supposer que ce procès a également pu avoir une incidence sur la faillite, prononcée quelques mois après le jugement en appel. Ces circonstances sont propres à fonder l'existence d'un risque de conflit d'intérêts concret, ce même si un tel risque ne devait finalement pas se matérialiser (cf. arrêt 1B_226/2016 du 15 septembre 2016 consid. 3.2).</w:t>
      </w:r>
    </w:p>
    <w:p>
      <w:r>
        <w:t>Pour le surplus, les développements des recourants, quant au fait que la recourante F.________ avait elle seule connaissance des informations concernant " sa " société, ne saurait être suivis, dès lors en particulier que deux autres administratrices étaient inscrites au Registre du commerce au moment des faits, dont l'une est d'ailleurs également prévenue dans la procédure pénale. Il en va de même de l'argument selon lequel il n'existerait aucun lien juridique entre la société et la masse en faillite de celle-ci, désormais en liquidation.</w:t>
      </w:r>
    </w:p>
    <w:p>
      <w:r>
        <w:rPr>
          <w:b/>
        </w:rPr>
        <w:t>E. 4.3</w:t>
      </w:r>
    </w:p>
    <w:p>
      <w:r>
        <w:t>Au vu de ce qui précède, l'interdiction faite à l'avocat recourant de représenter sa cliente dans la procédure dirigée contre celle-ci, sur plainte de la masse en faillite de la société en liquidation, est justifiée.</w:t>
      </w:r>
    </w:p>
    <w:p>
      <w:r>
        <w:rPr>
          <w:b/>
        </w:rPr>
        <w:t>E. 5</w:t>
      </w:r>
    </w:p>
    <w:p>
      <w:r>
        <w:t>Les recourants se prévalent en outre de restrictions disproportionnées (cf. art. 36 Cst. ), s'agissant de F.________, de son droit d'être défendue par l'avocat de son choix ( art. 6 ch. 3 let . c CEDH) et, s'agissant de E.________, de sa liberté économique ( art. 27 Cst. ).</w:t>
      </w:r>
    </w:p>
    <w:p>
      <w:r>
        <w:t>Ces griefs, pour autant qu'ils répondent aux exigences de motivation déduites des art. 42 al. 2 et 106 al. 2 LTF, n'ont toutefois pas de portée propre par rapport à celui en lien avec la capacité de postuler du recourant E.________, lequel a été examiné ci-dessus (cf. consid. 4 supra) sous l'angle de l' art. 127 al. 4 CPP et 12 let. c LLCA.</w:t>
      </w:r>
    </w:p>
    <w:p>
      <w:r>
        <w:rPr>
          <w:b/>
        </w:rPr>
        <w:t>E. 6</w:t>
      </w:r>
    </w:p>
    <w:p>
      <w:r>
        <w:t>Enfin, il n'y a pas lieu d'examiner dans la présente procédure les développements des recourants quant à la capacité de postuler du conseil juridique de l'intimée dans la procédure pénale dirigée contre la recourante F.________, lequel avocat était également le mandataire de D.________ SA lors du procès civil sus-évoqué. On relève en effet que la capacité de postuler du conseil juridique de l'intimée ne fait pas l'objet de la décision attaquée et, de surcroît, que les recourants n'ont pas pris de conclusions formelles à cet égard.</w:t>
      </w:r>
    </w:p>
    <w:p>
      <w:r>
        <w:rPr>
          <w:b/>
        </w:rPr>
        <w:t>E. 7</w:t>
      </w:r>
    </w:p>
    <w:p>
      <w:r>
        <w:t>Il s'ensuit que les recours doivent être rejetés.</w:t>
      </w:r>
    </w:p>
    <w:p>
      <w:r>
        <w:t>Les recourants, qui succombent, supportent solidairement les frais judiciaires ( art. 66 al. 1 LTF ). L'intimée, qui obtient gain de cause avec l'assistance d'un avocat, a droit à des dépens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