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1B_208/2023 vom 25. April 2023</w:t>
      </w:r>
    </w:p>
    <w:p>
      <w:r>
        <w:t>Bundesgericht, 2023-04-25, DE</w:t>
      </w:r>
    </w:p>
    <w:p>
      <w:r>
        <w:rPr>
          <w:b/>
        </w:rPr>
        <w:t xml:space="preserve">Quelle: </w:t>
      </w:r>
      <w:r>
        <w:t>https://mcp.opencaselaw.ch/entscheid/bger_1B_208_2023</w:t>
      </w:r>
    </w:p>
    <w:p>
      <w:r>
        <w:t>FR: TF 1B_208/2023 du 25 avril 2023</w:t>
      </w:r>
    </w:p>
    <w:p>
      <w:r>
        <w:t>IT: TF 1B_208/2023 del 25 aprile 2023</w:t>
      </w:r>
    </w:p>
    <w:p>
      <w:pPr>
        <w:pStyle w:val="Heading2"/>
      </w:pPr>
      <w:r>
        <w:t>Erwägungen</w:t>
      </w:r>
    </w:p>
    <w:p>
      <w:r>
        <w:rPr>
          <w:b/>
        </w:rPr>
        <w:t>E. 1</w:t>
      </w:r>
    </w:p>
    <w:p>
      <w:r>
        <w:t>A.________ erhob gegen die Nichtanhandnahmeverfügung der Regionalen Staatsanwaltschaft Oberland vom 27. März 2023 Beschwerde. Die Beschwerdekammer in Strafsachen des Obergerichts des Kantons Bern forderte A.________ mit Verfügung vom 13. April 2023 auf, innert 10 Tagen gemäss Art. 383 StPO eine Sicherheit von Fr. 1'500.-- zu leisten, ansonsten auf das Rechtsmittel nicht eingetreten werde.</w:t>
      </w:r>
    </w:p>
    <w:p>
      <w:r>
        <w:rPr>
          <w:b/>
        </w:rPr>
        <w:t>E. 2</w:t>
      </w:r>
    </w:p>
    <w:p>
      <w:r>
        <w:t>Im Rahmen des bei der strafrechtlichen Abteilung des Bundesgerichts hängigen Beschwerdeverfahrens 6B_482/2023 wandte sich A.________ mit Eingaben vom 15., 16. und 17. April 2023 ans Bundesgericht. Da diesen Eingaben die Verfügung der Beschwerdekammer in Strafsachen vom 13. April 2023 beilag, überwies die strafrechtliche Abteilung eine Kopie dieser Eingaben der I. öffentlich-rechtlichen Abteilung zur Behandlung als Beschwerde gegen die besagte Verfügung der Beschwerdekammer in Strafsachen. Auf die Einholung von Vernehmlassungen wird verzichtet.</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vermag mit ihren Ausführungen nicht verständlich aufzuzeigen, inwiefern die von der Beschwerdekammer in Strafsachen geforderte Sicherheitsleistung im Sinne von Art. 383 StPO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