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208/2018 vom 28. Mai 2018</w:t>
      </w:r>
    </w:p>
    <w:p>
      <w:r>
        <w:t>Bundesgericht, 2018-05-28, FR</w:t>
      </w:r>
    </w:p>
    <w:p>
      <w:r>
        <w:rPr>
          <w:b/>
        </w:rPr>
        <w:t xml:space="preserve">Quelle: </w:t>
      </w:r>
      <w:r>
        <w:t>https://mcp.opencaselaw.ch/entscheid/bger_1B_208_2018</w:t>
      </w:r>
    </w:p>
    <w:p>
      <w:r>
        <w:t>FR: TF 1B 208/2018 du 28 mai 2018</w:t>
      </w:r>
    </w:p>
    <w:p>
      <w:r>
        <w:t>IT: TF 1B 208/2018 del 28 maggio 2018</w:t>
      </w:r>
    </w:p>
    <w:p>
      <w:pPr>
        <w:pStyle w:val="Heading2"/>
      </w:pPr>
      <w:r>
        <w:t>Regeste</w:t>
      </w:r>
    </w:p>
    <w:p>
      <w:r>
        <w:t>Détention pour des motifs de sûreté | Procédure pénale</w:t>
      </w:r>
    </w:p>
    <w:p>
      <w:pPr>
        <w:pStyle w:val="Heading2"/>
      </w:pPr>
      <w:r>
        <w:t>Erwägungen</w:t>
      </w:r>
    </w:p>
    <w:p>
      <w:r>
        <w:rPr>
          <w:b/>
        </w:rPr>
        <w:t>E. 1</w:t>
      </w:r>
    </w:p>
    <w:p>
      <w:r>
        <w:t>Selon l' art. 78 LTF , le recours en matière pénale est ouvert contre les décisions rendues en matière pénale, dont font partie les prononcés relatifs à la détention provisoire ou pour des motifs de sûreté au sens des art. 212 ss CPP ( ATF 137 IV 22 consid. 1 p. 23). Selon l'art. 81 al. 1 let. a et b ch. 1 LTF, le recourant - prévenu actuellement détenu - a qualité pour recourir. Pour le surplus, le recours a été formé en temps utile ( art. 100 al. 1 LTF ) contre une décision rendue en dernière instance cantonale ( art. 80 LTF ) et les conclusions présentées sont recevables au regard de l' art. 107 al. 2 LTF . Partant, il y a lieu d'entrer en matière.</w:t>
      </w:r>
    </w:p>
    <w:p>
      <w:r>
        <w:rPr>
          <w:b/>
        </w:rPr>
        <w:t>E. 2</w:t>
      </w:r>
    </w:p>
    <w:p>
      <w:r>
        <w:t>Le recourant se plaint d'une violation de son droit d'être entendu dans la mesure où la cour cantonale n'aurait pas retenu ce même grief soulevé à l'encontre du Tmc, autorité qui aurait rejeté en bloc et sans motivation les neufs mesures de substitution proposées ( art. 29 al. 2 Cst. , 3 al. 2 let. c et 107 CPP; sur cette notion en lien avec la motivation, ATF 143 IV 40 consid. 3.4.3 p. 46; 139 IV 179 consid. 2.2 p. 183). La juridiction précédente a relevé que le Tmc avait expliqué de manière suffisante pourquoi il considérait que les mesures proposées ne permettaient pas dans le cas d'espèce de pallier le danger de fuite retenu; il s'était tout d'abord référé à ses précédentes ordonnances, puis avait relevé l'intensité des charges pesant sur le recourant, la date du jugement qui approchait et l'importance de la peine concrètement encourue (cf. le consid. 2.2 p.16 de l'arrêt attaqué). Au regard de cette motivation brève, mais claire, c'est à juste titre que la cour cantonale pouvait écarter le grief de violation du droit d'être entendu. Cette conclusion ne constitue pas non plus en soi une telle violation. Partant, ce premier grief peut être écarté.</w:t>
      </w:r>
    </w:p>
    <w:p>
      <w:r>
        <w:rPr>
          <w:b/>
        </w:rPr>
        <w:t>E. 3</w:t>
      </w:r>
    </w:p>
    <w:p>
      <w:r>
        <w:t>Le recourant se plaint d'un déni de justice. Il soutient que le Ministère public tarderait à statuer sur sa requête du 20 juillet 2015 demandant le retrait du dossier des déclarations effectuées en violation de l' art. 158 CPP lors de la perquisition du 13 juillet 2015 (cf. III/i p. 6 du mémoire de recours). Le recourant ne conteste cependant pas n'avoir pris aucune conclusion dans ce sens devant l'autorité précédente. Partant, cette conclusion est nouvelle et donc irrecevable ( art. 99 al. 2 LTF ).</w:t>
      </w:r>
    </w:p>
    <w:p>
      <w:r>
        <w:rPr>
          <w:b/>
        </w:rPr>
        <w:t>E. 4</w:t>
      </w:r>
    </w:p>
    <w:p>
      <w:r>
        <w:t>Invoquant notamment un établissement arbitraire des faits, le recourant reproche à la cour cantonale d'avoir considéré qu'il existerait des soupçons suffisants de sa culpabilité.</w:t>
      </w:r>
    </w:p>
    <w:p>
      <w:r>
        <w:rPr>
          <w:b/>
        </w:rPr>
        <w:t>E. 4.1</w:t>
      </w:r>
    </w:p>
    <w:p>
      <w:r>
        <w:t>Selon l' art. 221 al. 1 CPP , il doit exister des charges suffisantes, soit de sérieux soupçons de culpabilité, à l'égard de l'intéressé, c'est-à-dire des raisons plausibles de le soupçonner d'avoir commis une infraction.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330 consid. 2.1 p. 333; 143 IV 316 consid. 3.1 et 3.2 p. 318 s.). En d'autres termes, les soupçons doivent se renforcer plus l'instruction avance et plus l'issue du jugement au fond approche (arrêt 1B_344/2017 du 20 septembre 2017 consid. 4.1 et la référence citée). Si des raisons plausibles de soupçonner une personne d'avoir commis une infraction suffisent au début de l'enquête, ces motifs objectifs doivent passer de plausibles à vraisemblables. Il faut ainsi pour reprendre la jurisprudence relative au degré de preuve requis dans un procès, que des éléments parlent en faveur de la culpabilité du prévenu, et ce même si le juge envisage l'éventualité que tel ne soit pas le cas ( ATF 140 III 610 consid. 4.1 p. 613; arrêt 1B_344/2017 du 20 septembre 2017 consid. 4.1).</w:t>
      </w:r>
    </w:p>
    <w:p>
      <w:r>
        <w:rPr>
          <w:b/>
        </w:rPr>
        <w:t>E. 4.2</w:t>
      </w:r>
    </w:p>
    <w:p>
      <w:r>
        <w:t>En l'occurrence, un important faisceau d'indices, reposant de plus essentiellement sur des preuves matérielles, permet de considérer avec une grande vraisemblance (1) que le recourant avait des liens avec la victime, notamment en raison de relations - respectivement d'un contentieux - d'ordre financier (prêt - contesté - de la seconde au premier, défaut de remboursement, utilisation a priori sans droit par le premier de la carte bancaire de la seconde [cf. notamment les courriers électroniques échangés, les photographies du recourant effectuant des retraits avec la carte bancaire de la victime]); (2) que le recourant se trouvait à proximité du domicile de la victime le jour à partir duquel celle-ci n'a plus donné signe de vie (cf. les localisations par le biais des antennes téléphoniques); et (3) qu'il détenait, à son propre domicile, deux sacs dont le contenu pourrait être lié au décès (gants de ménage avec son ADN et celui de la victime, ainsi que des traces de sang de cette dernière; carabine démontée avec des projectiles comparables à ceux retrouvés dans le crâne de la victime). Vu ces éléments, la seule circonstance qu'un tiers ait pu toucher, à un moment donné ou à un autre, le ruban adhésif avec lequel la victime a été emballée ne suffit pas pour exclure toute participation du recourant au décès de la victime. Il n'appartient pas non plus au juge de la détention d'examiner l'ensemble des éléments à charge ou à décharge. En revanche, le recourant pourra développer devant le juge du fond ses arguments en lien notamment avec le défaut allégué de mobile, le prétendu voyage de la victime en Afrique et exposer son appréciation quant à l'autorisation reçue pour utiliser la carte bancaire de la victime. Il sera aussi en mesure de faire porter l'instruction définitive sur les notions de projectiles "comparables" et d' "ADN de contact". Enfin, dans l'examen des soupçons suffisants, entre également en considération le stade de l'enquête. Dans la mesure où le recourant est renvoyé en jugement notamment pour assassinat (cf. l'acte d'accusation du 26 février 2018), la cour cantonale pouvait considérer, sans arbitraire, que les charges pesant sur le recourant - dont la gravité et le sérieux ont été rapidement établis au cours de l'instruction par un grand nombre d'éléments - ne s'étaient pas amoindries. Au regard de ces considérations, il existe des charges suffisantes à l'encontre du recourant et ce grief peut être écarté.</w:t>
      </w:r>
    </w:p>
    <w:p>
      <w:r>
        <w:rPr>
          <w:b/>
        </w:rPr>
        <w:t>E. 5</w:t>
      </w:r>
    </w:p>
    <w:p>
      <w:r>
        <w:t>Le recourant conteste l'existence d'un risque de fuite. Le cas échéant, il prétend que des mesures de substitution seraient propres à le réduire.</w:t>
      </w:r>
    </w:p>
    <w:p>
      <w:r>
        <w:rPr>
          <w:b/>
        </w:rPr>
        <w:t>E. 5.1</w:t>
      </w:r>
    </w:p>
    <w:p>
      <w:r>
        <w:t>L' art. 221 al. 1 let. a CPP prévoit que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Selon la jurisprudence, le risque de fuite au sens de la disposition susmentionnée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 ATF 143 IV 160 consid. 4.3 p. 167).</w:t>
      </w:r>
    </w:p>
    <w:p>
      <w:r>
        <w:rPr>
          <w:b/>
        </w:rPr>
        <w:t>E. 5.2</w:t>
      </w:r>
    </w:p>
    <w:p>
      <w:r>
        <w:t>En l'espèce, le recourant possède la nationalité suisse. Sa fille et ses parents âgés résident en outre dans ce pays. Cela étant, il ne peut pas non plus être ignoré que le recourant ne bénéficie pas d'une situation stable dans ce pays (défaut d'activité professionnelle, situation financière précaire, absence d'aide sociale). Sur le plan professionnel, le recourant se prévaut d'une possibilité de travail en cas de libération; il ne développe cependant aucune argumentation pour démontrer que le poste évoqué en novembre 2017 avec une probabilité de prise d'emploi en février 2018 serait toujours d'actualité. C'est le lieu d'ailleurs d'exclure tout grief de déni de justice ou de violation du droit d'être entendu ( ATF 142 II 154 consid. 4.2 p. 157) en lien avec l'absence de constatation de la part de la juridiction précédente sur la formation et les expériences professionnelles acquises en Suisse par le recourant; en effet, il s'agit d'éléments passés n'apportant en l'espèce aucune garantie quant à un avenir, en particulier professionnel, sur ce territoire. Le recourant ne remet pas non plus en cause les troubles psychiatriques mis en évidence lors de son expertise, ceux-ci pouvant le pousser à vouloir réaliser ses rêves mythomaniaques de grandeur et de réussite à l'étranger, ainsi que les constatations cantonales relatives à l'hypothèse d'une fuite afin d'échapper à ses différents échecs. Le recourant ne conteste d'ailleurs pas avoir exprimé un désir de partir à l'étranger avec sa famille; peu importe au demeurant de savoir où il entendrait se rendre, que ce soit en France - ce qu'il conteste - et/ou à l'Île Maurice tel que relevé par la cour cantonale sans que le recourant ne remette en cause cette destination. On ne saurait enfin pas sérieusement exclure tout risque de fuite du fait que le recourant n'ait pas annoncé son départ au contrôle des habitants, modifié ses assurances ou acheté un billet d'avion. Le stade avancé de la procédure doit à nouveau être pris en compte. Ainsi, la perspective d'une éventuelle condamnation pour les graves faits qui lui sont reprochés et le prononcé d'une lourde peine privative de liberté s'approchant, le recourant pourrait être d'autant plus tenté de quitter la Suisse afin de se soustraire à ses obligations. Au regard de ces considérations, la Chambre pénale de recours pouvait, sans violer le droit fédéral, retenir l'existence d'un risque de fuite.</w:t>
      </w:r>
    </w:p>
    <w:p>
      <w:r>
        <w:rPr>
          <w:b/>
        </w:rPr>
        <w:t>E. 5.3</w:t>
      </w:r>
    </w:p>
    <w:p>
      <w:r>
        <w:t>S'agissant des mesures de substitution proposées pour le pallier ( art. 237 CPP ), la juridiction précédente les a écartées en considérant que le séjour en Valais ne paraissait pas compatible avec l'éventuelle prise d'un emploi dans le canton de Genève; le port d'un bracelet électronique ne constituait qu'un moyen de contrôle d'une éventuelle violation d'une assignation à résidence, mesure elle-même inapte à prévenir tout risque de fuite. La cour cantonale a ensuite considéré qu'il en allait de même d'une obligation de résidence en Suisse et de celle de se présenter régulièrement à un poste de police, qui ne permettaient à nouveau que de constater une éventuelle violation des règles de comportement; le dépôt des papiers d'identité n'empêchait pas non plus la fuite, notamment l'entrée dans la clandestinité. On ne voit pas quel élément avancé par le recourant permettrait de remettre en cause ces explications détaillées. En particulier, le recourant ne peut pas tirer argument de l'arrêt 1B_344/2017; en effet, dans le cadre de cette procédure, l'intensité du risque de fuite avait diminué eu égard à l'affaiblissement du niveau des soupçons pesant sur le prévenu en cause (cf. consid. 5.1 de l'arrêt du 20 septembre 2017 susmentionné). Tel n'est pas le cas en l'occurrence; au contraire, le recourant est en l'état renvoyé en jugement notamment pour meurtre avec la circonstance aggravante de l'assassinat, accusation qui repose sur de nombreux éléments objectifs à charge (cf. consid. 4.2 ci-dessus). En outre, en raison notamment du grave trouble mental de l'intéressé et de l'absence de perspective professionnelle, une assignation à résidence avec surveillance électronique ne paraît pas suffisante pour dissuader le recourant d'enfreindre ses obligations.</w:t>
      </w:r>
    </w:p>
    <w:p>
      <w:r>
        <w:rPr>
          <w:b/>
        </w:rPr>
        <w:t>E. 5.4</w:t>
      </w:r>
    </w:p>
    <w:p>
      <w:r>
        <w:t>Vu le danger retenu, il n'y a pas lieu d'examiner ce qu'il en est d'un éventuel risque de collusion. Le recourant ne conteste pas que la durée de la détention provisoire et pour motifs de sûreté subie reste conforme au principe de proportionnalité, vu la peine concrètement encourue ( art. 212 al. 3 CPP ).</w:t>
      </w:r>
    </w:p>
    <w:p>
      <w:r>
        <w:rPr>
          <w:b/>
        </w:rPr>
        <w:t>E. 6</w:t>
      </w:r>
    </w:p>
    <w:p>
      <w:r>
        <w:t>Au regard de l'ensemble de ces considérations, la Chambre pénale de recours a retenu, à juste titre l'existence de charges suffisantes, celle d'un risque de fuite qu'aucune mesure de substitution ne permettait de pallier. Elle pouvait ainsi, sans violer le droit fédéral, rejeter la demande de libération, respectivement ordonner le placement du recourant en détention pour des motifs de sûreté.</w:t>
      </w:r>
    </w:p>
    <w:p>
      <w:r>
        <w:rPr>
          <w:b/>
        </w:rPr>
        <w:t>E. 7</w:t>
      </w:r>
    </w:p>
    <w:p>
      <w:r>
        <w:t>Il s'ensuit que le recours est rejeté dans la mesure où il est recevable. Le recourant a demandé l'octroi de l'assistance judiciaire ( art. 64 al. 1 LTF ). Les conditions y relatives étant réalisées, cette requête doit être admise. Il y a lieu de désigner Maîtres Nicolas Gurtner et Raphaël Cristiano en tant qu'avocats d'office et de leur allouer une indemnité à titre d'honoraires, qui seront supportés par la caisse du tribunal. Il n'est pas perçu de frais judiciaires (art. 66 al. 4 et 64 al. 1 LTF),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