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207/2021 vom 30. April 2021</w:t>
      </w:r>
    </w:p>
    <w:p>
      <w:r>
        <w:t>Bundesgericht, 2021-04-30, DE</w:t>
      </w:r>
    </w:p>
    <w:p>
      <w:r>
        <w:rPr>
          <w:b/>
        </w:rPr>
        <w:t xml:space="preserve">Quelle: </w:t>
      </w:r>
      <w:r>
        <w:t>https://mcp.opencaselaw.ch/entscheid/bger_1B_207_2021</w:t>
      </w:r>
    </w:p>
    <w:p>
      <w:r>
        <w:t>FR: TF 1B 207/2021 du 30 avril 2021</w:t>
      </w:r>
    </w:p>
    <w:p>
      <w:r>
        <w:t>IT: TF 1B 207/2021 del 30 aprile 2021</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des Kantons Schwyz eröffnete am 28. November 2020 eine Strafuntersuchung gegen A.________ wegen strafbarer Vorbereitungshandlungen und Schreckung der Bevölkerung. Die Kantonspolizei Schwyz nahm ihn gleichentags fest. Das Zwangsmassnahmengericht ordnete mit Verfügung vom 1. Dezember 2020 vorläufig bis am 27. Februar 2021 Untersuchungshaft an.</w:t>
      </w:r>
    </w:p>
    <w:p>
      <w:r>
        <w:rPr>
          <w:b/>
        </w:rPr>
        <w:t>E. 2</w:t>
      </w:r>
    </w:p>
    <w:p>
      <w:r>
        <w:t>Am 24. Dezember 2020 reichte A.________ bei der Staatsanwaltschaft ein Ausstandsgesuch gegen Staatsanwalt Christian Wyss und Staatsanwältin Ines Meier ein. Die Staatsanwaltschaft überwies das Ausstandsgesuch am 28. Dezember 2020 zuständigkeitshalber dem Kantonsgericht Schwyz, welches mit Beschluss vom 5. März 2021 die Ausstandsgesuche abwies, soweit es darauf eintrat. Das Kantonsgericht führte dabei zusammenfassend aus, dass auf das Ausstandsgesuch gegen den Kantonsgerichtspräsidenten mangels eines zulässigen Ausstandsgrundes nicht einzutreten sei. Mangels ersichtlicher Ausstandsgründe sei auch auf das Ausstandsgesuch gegen Staatsanwältin Ines Meier nicht einzutreten. Bezüglich Staatsanwalt Christian Wyss seien keine Verfahrensfehler, jedenfalls keine wesentlichen und schon gar nicht solche, welche einen Ausstandsgrund zu begründen vermöchten, ersichtlich. Das Ausstandsgesuch sei daher abzuweisen.</w:t>
      </w:r>
    </w:p>
    <w:p>
      <w:r>
        <w:rPr>
          <w:b/>
        </w:rPr>
        <w:t>E. 3</w:t>
      </w:r>
    </w:p>
    <w:p>
      <w:r>
        <w:t>Am 18. März 2021 stellte A.________ ein Gesuch um Erstreckung der Beschwerdefrist beim Bundesgericht. Dieses teilte ihm mit Schreiben vom 23. März 2021 mit, dass die Beschwerdefrist als eine gesetzlich bestimmte Frist nicht erstreckt werden könne ( Art. 47 Abs. 1 BGG ). Mit Eingabe vom 20. April 2021 erhob A.________ Beschwerde in Strafsachen gegen den Beschluss des Kantonsgerichts Schwyz vom 5. März 2021.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wenn überhaupt, nicht rechtsgenüglich mit der Begründung des Kantonsgerichts auseinander. Mit der hauptsächlichen Darstellung seiner Sicht der Dinge vermag er nicht konkret und im Einzelnen aufzuzeigen, dass das Kantonsgericht seine Ausstandsgesuche rechtswidrig behandelt hätte. Aus seinen Ausführungen ergibt sich nicht verständlich,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