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1B_207/2017 vom 20. September 2017</w:t>
      </w:r>
    </w:p>
    <w:p>
      <w:r>
        <w:t>Bundesgericht, 2017-09-20, FR</w:t>
      </w:r>
    </w:p>
    <w:p>
      <w:r>
        <w:rPr>
          <w:b/>
        </w:rPr>
        <w:t xml:space="preserve">Quelle: </w:t>
      </w:r>
      <w:r>
        <w:t>https://mcp.opencaselaw.ch/entscheid/bger_1B_207_2017</w:t>
      </w:r>
    </w:p>
    <w:p>
      <w:r>
        <w:t>FR: TF 1B_207/2017 du 20 septembre 2017</w:t>
      </w:r>
    </w:p>
    <w:p>
      <w:r>
        <w:t>IT: TF 1B_207/2017 del 20 settembre 2017</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Le Tribunal fédéral connaît des recours contre les décisions rendues en matière pénale ( art. 78 al. 1 LTF ). Sont assimilées à ces décisions celles rendues sur l'exécution de peines et de mesures ( art. 78 al. 2 let. b LTF ). Lors de l'introduction de la LTF, le législateur a en effet voulu mettre un terme au système compliqué prévalant sous l'ancienne OJ, à teneur duquel les voies de recours étaient différentes selon que la décision émanait de l'autorité administrative (recours de droit administratif), du juge (pourvoi en nullité) ou reposait sur du droit cantonal (recours de droit public) (Pierre Ferrari, Commentaire LTF, 2</w:t>
      </w:r>
    </w:p>
    <w:p>
      <w:r>
        <w:t>ème édition 2014, n. 33 ad art. 78; BSK BGG-Thommen, 2</w:t>
      </w:r>
    </w:p>
    <w:p>
      <w:r>
        <w:t>ème édition 2011, n. 38 ad art. 78). Ce qui vaut pour l'exécution des peines et mesures doit, pour les mêmes motifs de simplification que vise la LTF, valoir pour l'exécution de la détention provisoire ou pour des motifs de sûreté ( art. 234-236 CPP ). Le recourant a ainsi à bon droit formé un recours en matière pénale.</w:t>
      </w:r>
    </w:p>
    <w:p>
      <w:r>
        <w:t>Selon l' art. 81 al. 1 LTF , a qualité pour former un recours en matière pénale quiconque a pris part à la procédure devant l'autorité précédente ou a été privé de la possibilité de le faire (let. a: "formelle Beschwer") et a un intérêt juridique à l'annulation ou à la modification de la décision attaquée, soit en particulier l'accusé (let. b ch. 1: "materielle Beschwer").</w:t>
      </w:r>
    </w:p>
    <w:p>
      <w:r>
        <w:rPr>
          <w:b/>
        </w:rPr>
        <w:t>E. 1.2</w:t>
      </w:r>
    </w:p>
    <w:p>
      <w:r>
        <w:t>En l'espèce, la décision attaquée autorise la RTS à procéder à une interview du recourant par téléphone, par voie épistolaire, voire lors de la venue au parloir individuel du seul journaliste (et si nécessaire d'un interprète); elle lui interdit cependant de procéder à un entretien filmé. La destinataire de la décision litigieuse est donc uniquement la RTS; or la RTS n'a pas fait recours contre la décision. Dès lors, comme la RTS a accepté la décision attaquée et - implicitement - renoncé à procéder à la mesure litigieuse, le recourant n'a aucun intérêt juridique au sens de l' art. 81 al. 1 let. b LTF à obtenir l'annulation de la décision du 8 mai 2017. L'admission éventuelle de son recours ne pourrait en effet pas conduire à ce que la RTS décide de filmer son interview; cela ne procurerait ainsi au recourant aucun avantage de droit matériel.</w:t>
      </w:r>
    </w:p>
    <w:p>
      <w:r>
        <w:t>Pour les mêmes motifs, le recourant ne peut pas recourir en tant que tiers qui agit en faveur du destinataire de la décision ("Drittbeschwerde pro Adressat"). La RTS a en effet accepté la décision de la Présidente de la Chambre pénale d'appel et de révision, renonçant ainsi à l'interview litigieuse. Dans cette mesure, le recourant ne dispose pas d'un intérêt juridique propre, direct et indépendant au dépôt du recours (cf. ATF 130 V 560 consid. 3.5 et 3.6 p. 565 s. et les références citées; arrêts 8C_147/2016 du 13 juillet 2016 consid. 5.5; 1C_260/2009 du 6 octobre 2009 consid. 4.2).</w:t>
      </w:r>
    </w:p>
    <w:p>
      <w:r>
        <w:t>Par conséquent, le recourant ne dispose pas de la qualité pour former un recours en matière pénale contre la décision du 8 mai 2017.</w:t>
      </w:r>
    </w:p>
    <w:p>
      <w:r>
        <w:rPr>
          <w:b/>
        </w:rPr>
        <w:t>E. 2</w:t>
      </w:r>
    </w:p>
    <w:p>
      <w:r>
        <w:t>Il s'ensuit que le recours doit être déclaré irrecevable,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