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1B_206/2012 vom 29. August 2012</w:t>
      </w:r>
    </w:p>
    <w:p>
      <w:r>
        <w:t>Bundesgericht, 2012-08-29, FR</w:t>
      </w:r>
    </w:p>
    <w:p>
      <w:r>
        <w:rPr>
          <w:b/>
        </w:rPr>
        <w:t xml:space="preserve">Quelle: </w:t>
      </w:r>
      <w:r>
        <w:t>https://mcp.opencaselaw.ch/entscheid/bger_1B_206_2012</w:t>
      </w:r>
    </w:p>
    <w:p>
      <w:r>
        <w:t>FR: TF 1B_206/2012 du 29 août 2012</w:t>
      </w:r>
    </w:p>
    <w:p>
      <w:r>
        <w:t>IT: TF 1B_206/2012 del 29 agosto 2012</w:t>
      </w:r>
    </w:p>
    <w:p>
      <w:pPr>
        <w:pStyle w:val="Heading2"/>
      </w:pPr>
      <w:r>
        <w:t>Erwägungen</w:t>
      </w:r>
    </w:p>
    <w:p>
      <w:r>
        <w:rPr>
          <w:b/>
        </w:rPr>
        <w:t>E. 1</w:t>
      </w:r>
    </w:p>
    <w:p>
      <w:r>
        <w:t>L'arrêt attaqué a été rendu en matière pénale au sens de l' art. 78 LTF . S'agissant d'un non-lieu ou d'un classement de la procédure pénale, il a un caractère final ( art. 90 LTF ) et émane de l'autorité cantonale de dernière instance ( art. 80 LTF ). La recourante a agi en temps utile ( art. 100 al. 1 LTF ).</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soit en particulier les prétentions en réparation du dommage et du tort moral au sens des art. 41 ss CO . Selon l' art. 42 al. 1 LTF , il incombe notamment au recourant d'alléguer les faits qu'il considère comme propres à fonder sa qualité pour recourir lorsque ces faits ne ressortent pas à l'évidence de la décision attaquée ou du dossier de la cause (cf. ATF 133 II 353 consid. 1 p. 356, 249 consid. 1.1 p. 251).</w:t>
      </w:r>
    </w:p>
    <w:p>
      <w:r>
        <w:t>Lorsque, comme en l'espèce, le recours est dirigé contre une décision de classement ou de non-entrée en matière, il n'est pas nécessaire que la partie plaignante ait déjà pris des conclusions civiles ( ATF 137 IV 246 consid. 1.3.1). En revanche,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1.2</w:t>
      </w:r>
    </w:p>
    <w:p>
      <w:r>
        <w:t>En l'espèce, la recourante a participé à la procédure devant l'autorité précédente en qualité de partie plaignante. Or, l'ordonnance de classement met fin à la procédure pénale et exclut un verdict de culpabilité à l'encontre de l'automobiliste impliqué dans l'accident mortel du 15 avril 2011. Il s'agit donc d'une décision qui est de nature à exercer une influence négative sur le jugement des prétentions civiles en réparation du tort moral que la recourante pourrait faire valoir, lesquelles paraissent évidentes s'agissant de la mort de son fils (cf. art. 47 CO ). Il y a donc lieu d'admettre la qualité pour agir de la recourante.</w:t>
      </w:r>
    </w:p>
    <w:p>
      <w:r>
        <w:rPr>
          <w:b/>
        </w:rPr>
        <w:t>E. 2</w:t>
      </w:r>
    </w:p>
    <w:p>
      <w:r>
        <w:t>La recourante se plaint d'arbitraire dans l'appréciation des faits. Elle reproche à la cour cantonale d'avoir constaté que l'automobiliste Y.________ n'avait pu percevoir le bruit causé par le motard qu'une fois engagé dans sa man?uvre et d'avoir ainsi écarté sans motif valable et sérieux la déclaration de Y.________ lui-même qui admettait avoir entendu le motard rouler à vive allure.</w:t>
      </w:r>
    </w:p>
    <w:p>
      <w:r>
        <w:rPr>
          <w:b/>
        </w:rPr>
        <w:t>E. 2.1</w:t>
      </w:r>
    </w:p>
    <w:p>
      <w:r>
        <w:t>Le Tribunal fédéral statue sur la base des faits établis par l'autorité précédente ( art. 105 al. 1 LTF ). La partie recourante ne peut critiquer les constatations de faits que si ceux-ci ont été établis de manière manifestement inexacte ou en violation du droit au sens de l' art. 95 LTF , en particulier en violation de l'interdiction de l'arbitraire consacrée à l' art. 9 Cst. (sur cette notion, voir ATF 135 V 2 consid. 1.3 p. 4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 Le grief d'arbitraire doit être motivé conformément aux exigences posées par l' art. 106 al. 2 LTF . La partie recourante doit donc démontrer, sous peine d'irrecevabilité, que la décision attaquée, sur le point contesté, est manifestement insoutenable et non seulement discutable ou même critiquable (cf. ATF 134 I 140 consid. 5.4 p. 148).</w:t>
      </w:r>
    </w:p>
    <w:p>
      <w:r>
        <w:rPr>
          <w:b/>
        </w:rPr>
        <w:t>E. 2.2</w:t>
      </w:r>
    </w:p>
    <w:p>
      <w:r>
        <w:t>S'agissant du fait de savoir si le conducteur avait ou non entendu le bruit de la moto avant d'effectuer sa man?uvre, l'autorité cantonale a retenu, sur la base des déclarations du témoin C.________, qu'au moment du choc, la voiture était sur la voie de circulation en sens inverse. Elle en a tiré la conclusion - réfutée par la recourante - que le conducteur du véhicule n'avait pu entendre le bruit causé par le motard qu'une fois engagé dans sa man?uvre.</w:t>
      </w:r>
    </w:p>
    <w:p>
      <w:r>
        <w:t>Certes les déclarations de Y.________ ne sont pas concordantes sur ce point. En effet, il a déclaré une première fois à la police qu'avant l'accident il avait aperçu un motard qui circulait à faible allure sur la même voie que lui. Il a précisé que le second motard se trouvait bien plus en arrière. Il a également dit qu'il l'entendait circuler à vive allure. Dans une déclaration ultérieure, Y.________ a relaté que "c'est allé tellement vite que je n'arrive pas à vous dire si j'ai entendu le bruit du moteur de la moto avant le choc". Il a toutefois précisé qu'il n'avait pas vu le motard sur la voie de gauche dans son rétroviseur. Enfin, il a répondu non à la question de savoir s'il avait eu conscience qu'il y avait un motard qui roulait à vive allure. Dans ces conditions, la cour cantonale n'a pas fait preuve d'arbitraire en se fondant sur les déclarations du témoin direct de l'accident, C.________, qui a précisé : "Il (Y.________) a commencé à tourner gentiment quand soudain j'ai entendu le bruit d'une moto. Ce bruit était très fort, je pense que l'automobiliste a également entendu le son de cette moto qui arrivait à vive allure". Ce témoignage permet donc d'affirmer que l'automobiliste ne pouvait avoir perçu le bruit de la moto puisque le motard lui-même ne l'a entendu qu'une fois la man?uvre de dépassement engagée. Ce témoin dont la position était privilégiée, a également déclaré qu'au moment où la victime le dépassait, il ne voyait plus la voiture de Y.________ devant lui. Ainsi, la presque totalité de la manoeuvre était effectuée au moment du choc. L'expertise a aussi confirmé que le véhicule obliquant roulait à environ 20 km/h, ce qui permettait à son conducteur de concentrer toute son attention sur la man?uvre qu'il avait déjà largement engagée au moment du choc.</w:t>
      </w:r>
    </w:p>
    <w:p>
      <w:r>
        <w:t>La cour cantonale pouvait donc, sans arbitraire, admettre que le bruit causé par la moto de la victime n'avait pu être perçu par l'automobiliste qu'une fois engagé dans sa man?uvre pour obliquer à gauche.</w:t>
      </w:r>
    </w:p>
    <w:p>
      <w:r>
        <w:rPr>
          <w:b/>
        </w:rPr>
        <w:t>E. 3</w:t>
      </w:r>
    </w:p>
    <w:p>
      <w:r>
        <w:t>La recourante fait grief à l'instance précédente d'avoir abusé de son pouvoir d'appréciation dans l'application de l' art. 319 CPP . Invoquant le principe "in dubio pro duriore", elle reproche à la cour cantonale d'avoir admis que le conducteur Y.________ avait adopté un comportement conforme aux règles de la LCR. Elle fait également valoir que l'instance précédente aurait à tort considéré que le comportement de B.X.________ était de nature à rompre le lien de causalité entre le décès du motocycliste et une éventuelle faute de l'automobiliste.</w:t>
      </w:r>
    </w:p>
    <w:p>
      <w:r>
        <w:rPr>
          <w:b/>
        </w:rPr>
        <w:t>E. 3.1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"in dubio pro duriore" découle du principe de la légalité ( art. 5 al. 1 Cst. et 2 al. 2 CPP en relation avec les art. 319 al. 1 et 324 CPP ;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 ATF 138 IV 86 consid. 4.1.1 p. 90 s.; 137 IV 219 consid. 7.1-7.2 p. 226 s.). Lorsque les probabilités d'acquittement et de condamnation apparaissent équivalentes, une mise en accusation s'impose en principe également, en particulier lorsque l'infraction est grave (cf. ATF 138 IV 86 consid. 4.1.2 p. 91).</w:t>
      </w:r>
    </w:p>
    <w:p>
      <w:r>
        <w:rPr>
          <w:b/>
        </w:rPr>
        <w:t>E. 3.2</w:t>
      </w:r>
    </w:p>
    <w:p>
      <w:r>
        <w:t>Selon l' art. 34 al. 3 LCR , le conducteur qui veut modifier sa direction de marche, par exemple pour obliquer, dépasser, se mettre en ordre de présélection ou passer d'une voie à l'autre, est tenu d'avoir égard aux usagers de la route qui viennent en sens inverse ainsi qu'aux véhicules qui le suivent. Lorsqu'il entend obliquer à gauche, il doit se tenir près de l'axe de la chaussée et accorder la priorité aux véhicules qui viennent en sens inverse ( art. 36 al. 1 et 3 LCR ). Cette manoeuvre de présélection doit être effectuée à temps, même ailleurs qu'aux intersections et sans emprunter la partie de la chaussée réservée à la circulation en sens inverse ( art. 13 al. 1 et 2 1 ère phrase OCR). Elle poursuit un double but, soit, d'une part, canaliser à temps les flux de trafic à l'approche d'une intersection et favoriser la fluidité en isolant les usagers qui attendent de pouvoir obliquer à gauche, cependant que les autres usagers peuvent poursuivre sans encombre leur route en dépassant par la droite ( ATF 104 IV 110 consid. 3a p. 113). La présélection a, d'autre part, une fonction d'avertissement. La position longitudinale du véhicule - qui complète sa signalisation lumineuse intermittente et peut en améliorer la visibilité de l'arrière lorsque l'obliquant est suivi d'un autre véhicule indique aux autres usagers de la route l'intention d'obliquer (arrêt 6S.325/2006 du 3 novembre 2006 consid. 2.1 publié in JdT 2006 I 434; cf. RENÉ SCHAFFHAUSER, Grundriss des schweizerischen Strassenverkehrsrechts, vol. I, 2e éd., Berne 2002, n. 751 p. 341; BUSSY/RUSCONI, Code suisse de la circulation routière, 3e éd., Lausanne 1996, n. 2.6 let. b ad art. 35 LCR et n. 1.1 ad art. 36 LCR ). Le conducteur qui signale son intention aux autres usagers de la route n'est pas dispensé pour autant d'observer les précautions nécessaires ( art. 39 al. 2 LCR ).</w:t>
      </w:r>
    </w:p>
    <w:p>
      <w:r>
        <w:rPr>
          <w:b/>
        </w:rPr>
        <w:t>E. 3.3</w:t>
      </w:r>
    </w:p>
    <w:p>
      <w:r>
        <w:t>Le principe de la confiance, déduit de l' art. 26 al. 1 LCR ,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Seul celui qui s'est comporté réglementairement peut invoquer le principe de la confiance. Celui qui viole des règles de la circulation et crée ainsi une situation confuse ou dangereuse ne peut pas attendre des autres qu'ils pallient ce danger par une attention accrue. Cette restriction n'est cependant plus applicable lorsque savoir si l'usager a violé une règle de la circulation dépend précisément de la mesure dans laquelle il pouvait se fonder sur le comportement de l'autre usager ( ATF 125 IV 83 consid. 2b p. 87 et les références; arrêt 6S.325/2006 du 3 novembre 2006 consid. 2.2 publié in JdT 2006 I 434).</w:t>
      </w:r>
    </w:p>
    <w:p>
      <w:r>
        <w:t>Le principe de la confiance peut en principe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manoeuvre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manoeuvre gène la fluidité du trafic et crée une situation de nature à accroître le risque d'accidents en particulier pour les usagers arrivant de l'arrière ( ATF 125 IV 83 consid. 2c p. 88; arrêt 6S.325/2006 du 3 novembre 2006 consid. 2.2 publié in JdT 2006 I 434). La manoeuvre consistant à obliquer à gauche doit en particulier être effectuée avec les plus grandes précautions, parce que les intentions de celui qui oblique, même dûment signalées, peuvent aisément échapper aux autres usagers ou être mal comprises ( ATF 100 IV 186 consid. 2a p. 187).</w:t>
      </w:r>
    </w:p>
    <w:p>
      <w:r>
        <w:rPr>
          <w:b/>
        </w:rPr>
        <w:t>E. 3.4</w:t>
      </w:r>
    </w:p>
    <w:p>
      <w:r>
        <w:t>En l'occurrence, la cour cantonale a retenu que le conducteur du véhicule automobile s'était mis correctement en ordre de présélection, ralentissant pour effectuer sa man?uvre et indiquant avec son clignotant son intention d'obliquer à gauche, tout en s'assurant dans son rétroviseur qu'aucun véhicule ne le dépassait, respectant ainsi toutes les obligations en matière de changement de direction. A cet égard, le témoin direct de l'accident ainsi que le résultat de l'expertise démontrent qu'au moment du choc, la voiture de Y.________ se trouvait déjà sur la voie de gauche. Avant d'effectuer cette man?uvre, il avait indiqué avec son clignotant sa volonté de bifurquer sur la gauche et avait fortement ralenti. Il avait également regardé dans le rétroviseur central et latéral pour s'assurer qu'aucun véhicule ne le dépassait. Il a donc satisfait à l'ensemble des obligations lui incombant. L'expertise a permis d'établir que le choc entre le motocycle et la voiture a eu lieu sur la piste de gauche. Les traces de freinage laissées par le motocycle se trouvent très largement sur la voie de gauche et indiquent donc que celui-ci a dépassé l'îlot de sécurité par la gauche. Dès lors, lorsque l'automobiliste a enclenché son clignotant et a ralenti, alors qu'il se trouvait encore sur la piste de droite, il n'y avait effectivement aucun véhicule derrière lui, si ce n'est celui du témoin direct de l'accident, puisque B.X.________ roulait sur la voie de gauche. Y.________ a donc satisfait entièrement à ses obligations de sécurité.</w:t>
      </w:r>
    </w:p>
    <w:p>
      <w:r>
        <w:t>Partant, la cour cantonale n'a pas violé le droit fédéral en admettant que, dans les circonstances telles qu'elles résultent du dossier, Y.________ n'a commis aucune infraction et que le classement de l'affaire au sens de l' art. 319 CPP était justifié.</w:t>
      </w:r>
    </w:p>
    <w:p>
      <w:r>
        <w:rPr>
          <w:b/>
        </w:rPr>
        <w:t>E. 3.5</w:t>
      </w:r>
    </w:p>
    <w:p>
      <w:r>
        <w:t>Dans une argumentation subsidiaire, la cour cantonale a précisé que le comportement du motard était de nature à rompre le lien de causalité entre le décès du motocycliste et une éventuelle faute de l'automobiliste. Les critiques de la recourante sur ce point ne résistent pas à l'examen.</w:t>
      </w:r>
    </w:p>
    <w:p>
      <w:r>
        <w:t>En effet, l'expertise a permis d'établir que B.X.________ roulait sous l'emprise d'une alcoolémie de 2,00 pour mille. Une telle concentration d'alcool dans le sang est de nature à affaiblir sensiblement les facultés de réaction d'un conducteur lorsqu'il se trouve face à un obstacle sur la route. Par ailleurs, les témoins ont indiqué que la victime était fatiguée, vu l'heure tardive et la soirée qu'il venait de passer. De plus, la vitesse autorisée sur ce tronçon était de 50 km/h alors que le fils de la recourante circulait à une vitesse oscillant entre 73 et 89 km/h commettant ainsi un excès de vitesse considérable. Enfin, il a effectué une man?uvre de dépassement d'un îlot de sécurité pour piétons par la gauche en empruntant la voie de circulation en sens inverse pour passer. Il s'agit de plusieurs violations graves des règles de la circulation routière qui diminuent d'autant la prévisibilité de son comportement. La jurisprudence citée par la recourante précise que certaines circonstances peuvent rendre extraordinaire et imprévisible la faute de celui qui dépasse. L'allure à laquelle il approche puis entreprend le dépassement peut ainsi notamment constituer un facteur de nature à interrompre le lien de causalité. Cette condition peut être donnée en cas de dépassement des limitations de vitesse ou lorsque la vitesse n'est pas adaptée aux circonstances ( art. 32 al. 1 LCR ) par exemple parce que la manière dont la circulation va se dérouler n'est pas claire (arrêt 6S.325/2006 du 3 novembre 2006 consid. 2.6.2.3). Toujours dans cet arrêt, il n'était pas établi si, et le cas échéant dans quelle mesure, la vitesse du motocycliste excédait la vitesse autorisée. En l'occurrence, contrairement à la jurisprudence précitée, B.X.________ conduisait, sous l'influence de l'alcool, à une vitesse dépassant largement celle autorisée et effectuait un dépassement de l'îlot de sécurité par la gauche, circulant ainsi en sens inverse au moment de la collision.</w:t>
      </w:r>
    </w:p>
    <w:p>
      <w:r>
        <w:t>Dans ces circonstances, la cour cantonale a retenu, sans violer le droit fédéral, que l'affaire pouvait être classée, également parce que les fautes commises par le motard, à savoir la conduite en état d'ivresse, le dépassement par la gauche et l'important excès de vitesse, étaient de nature à interrompre le lien de causalité au point d'en faire la cause la plus probable de son décès.</w:t>
      </w:r>
    </w:p>
    <w:p>
      <w:r>
        <w:rPr>
          <w:b/>
        </w:rPr>
        <w:t>E. 4</w:t>
      </w:r>
    </w:p>
    <w:p>
      <w:r>
        <w:t>Il s'ensuit que le recours doit être rejeté aux frais de la recourante qui succombe ( art. 65 et 66 al. 1 LTF ). Il n'y a pas lieu d'allouer de dépens aux autorités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