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205/2021 vom 4. Oktober 2021</w:t>
      </w:r>
    </w:p>
    <w:p>
      <w:r>
        <w:t>Bundesgericht, 2021-10-04, DE</w:t>
      </w:r>
    </w:p>
    <w:p>
      <w:r>
        <w:rPr>
          <w:b/>
        </w:rPr>
        <w:t xml:space="preserve">Quelle: </w:t>
      </w:r>
      <w:r>
        <w:t>https://mcp.opencaselaw.ch/entscheid/bger_1B_205_2021</w:t>
      </w:r>
    </w:p>
    <w:p>
      <w:r>
        <w:t>FR: TF 1B 205/2021 du 4 octobre 2021</w:t>
      </w:r>
    </w:p>
    <w:p>
      <w:r>
        <w:t>IT: TF 1B 205/2021 del 4 ottobre 2021</w:t>
      </w:r>
    </w:p>
    <w:p>
      <w:pPr>
        <w:pStyle w:val="Heading2"/>
      </w:pPr>
      <w:r>
        <w:t>Regeste</w:t>
      </w:r>
    </w:p>
    <w:p>
      <w:r>
        <w:t>Strafverfahren; Entsiegelung | Strafprozess</w:t>
      </w:r>
    </w:p>
    <w:p>
      <w:pPr>
        <w:pStyle w:val="Heading2"/>
      </w:pPr>
      <w:r>
        <w:t>Erwägungen</w:t>
      </w:r>
    </w:p>
    <w:p>
      <w:r>
        <w:rPr>
          <w:b/>
        </w:rPr>
        <w:t>E. 1.1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w:t>
      </w:r>
    </w:p>
    <w:p>
      <w:r>
        <w:rPr>
          <w:b/>
        </w:rPr>
        <w:t>E. 1.2</w:t>
      </w:r>
    </w:p>
    <w:p>
      <w:r>
        <w:t>Beim angefochtenen Entscheid handelt es sich um einen selbstständig eröffneten Vor- oder Zwischenentscheid, der weder die Zuständigkeit noch den Ausstand zum Gegenstand hat (vgl. Art. 91 BGG ). Nach Art. 93 Abs. 1 BGG ist gegen einen solchen Entscheid die Beschwerde zulässig, wenn er einen nicht wieder gutzumachenden Nachteil bewirken kann (lit. a) oder unter der doppelten Voraussetzung, dass die Gutheissung der Beschwerde sofort einen Endentscheid herbeiführen und damit einen bedeutenden Aufwand an Zeit oder Kosten für ein weitläufiges Beweisverfahren ersparen würde (lit. b). Da das Bundesgericht eine Sache grundsätzlich nur einmal beurteilen soll, ist die zweite Voraussetzung einschränkend zu verstehen ( BGE 143 III 290 E. 1.4). In Strafsachen schliesst das Bundesgericht die Anwendbarkeit von Art. 93 Abs. 1 lit. b BGG grundsätzlich sogar ganz aus, da diese Bestimmung auf Zivilprozesse zugeschnitten ist und im Strafprozess einen Fremdkörper bildet, der darin kaum je Anwendung findet ( BGE 144 IV 127 E. 1.3; 141 IV 284 E. 2; 133 IV 288 E. 3.2). Nach konstanter Rechtsprechung haben die Rechtssuchenden im Einzelnen darzulegen, inwiefern die Beschwerdevoraussetzungen nach Art. 93 Abs. 1 BGG erfüllt sind, ansonsten auf die Beschwerde mangels hinreichender Begründung nicht einzutreten ist ( BGE 137 III 324 E. 1.1; 136 IV 92 E. 4;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1.3</w:t>
      </w:r>
    </w:p>
    <w:p>
      <w:r>
        <w:t>Der Beschwerdeführer macht einzig das Vorliegen eines Anwendungsfalls von Art. 93 Abs. 1 lit. b BGG geltend. Seiner Ansicht nach hat die Staatsanwaltschaft das Entsiegelungsgesuch verspätet gestellt, weshalb ein entsprechendes Urteil des Bundesgerichts das Entsiegelungsverfahren beenden würde. Wie mit einer bundesgerichtlichen Gutheissung der Beschwerde sofort ein Endentscheid herbeigeführt würde, ist nicht ersichtlich und wird vom Beschwerdeführer nicht dargelegt. Entsprechende Ausführungen unterlässt er auch in Bezug auf die Frage, inwieweit dies ein weitläufiges Beweisverfahren sowie einen damit verbundenen bedeutenden Aufwand an Zeit und Kosten ersparen würde. Die Beschwerde ist somit ungenügend substanziiert.</w:t>
      </w:r>
    </w:p>
    <w:p>
      <w:r>
        <w:rPr>
          <w:b/>
        </w:rPr>
        <w:t>E. 2</w:t>
      </w:r>
    </w:p>
    <w:p>
      <w:r>
        <w:t>Die Beschwerde erweist sich als unzulässig, weshalb auf sie nicht einzutreten ist. Bei diesem Ausgang des Verfahrens trägt der Beschwerdeführer die Kosten ( Art. 66 Abs. 1 BGG ). Er hat zwar ein Gesuch um unentgeltliche Rechtspflege gestellt, welches indes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