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1B_205/2020 vom 21. Juli 2020</w:t>
      </w:r>
    </w:p>
    <w:p>
      <w:r>
        <w:t>Bundesgericht, 2020-07-21, DE</w:t>
      </w:r>
    </w:p>
    <w:p>
      <w:r>
        <w:rPr>
          <w:b/>
        </w:rPr>
        <w:t xml:space="preserve">Quelle: </w:t>
      </w:r>
      <w:r>
        <w:t>https://mcp.opencaselaw.ch/entscheid/bger_1B_205_2020</w:t>
      </w:r>
    </w:p>
    <w:p>
      <w:r>
        <w:t>FR: TF 1B_205/2020 du 21 juillet 2020</w:t>
      </w:r>
    </w:p>
    <w:p>
      <w:r>
        <w:t>IT: TF 1B_205/2020 del 21 luglio 2020</w:t>
      </w:r>
    </w:p>
    <w:p>
      <w:pPr>
        <w:pStyle w:val="Heading2"/>
      </w:pPr>
      <w:r>
        <w:t>Erwägungen</w:t>
      </w:r>
    </w:p>
    <w:p>
      <w:r>
        <w:rPr>
          <w:b/>
        </w:rPr>
        <w:t>E. 1.1</w:t>
      </w:r>
    </w:p>
    <w:p>
      <w:r>
        <w:t>Die Beschwerde richtet sich gegen einen letztinstanzlichen kantonalen Zwischenentscheid auf dem Gebiet des Strafrechts. Gegen Entscheide auf diesem Gebiet steht grundsätzlich die Beschwerde in Strafsachen offen ( Art. 78 BGG ).</w:t>
      </w:r>
    </w:p>
    <w:p>
      <w:r>
        <w:rPr>
          <w:b/>
        </w:rPr>
        <w:t>E. 1.2</w:t>
      </w:r>
    </w:p>
    <w:p>
      <w:r>
        <w:t>Gegen Zwischenentscheide ist die Beschwerde abgesehen von vorliegend nicht relevanten Ausnahmen nur dann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Ein Endentscheid kann durch die vorliegende Beschwerde nicht herbeigeführt werden. Somit setzt die Zulässigkeit der Beschwerde voraus, dass ein nicht wieder gutzumachender Nachteil droht.</w:t>
      </w:r>
    </w:p>
    <w:p>
      <w:r>
        <w:t>Nach der Rechtsprechung muss es sich im Strafrecht beim nicht wieder gutzumachenden Nachteil gemäss Art. 93 Abs. 1 lit. a BGG um einen solchen rechtlicher Natur handeln. Eine bloss tatsächliche Beeinträchtigung genügt nicht ( BGE 141 IV 289 E. 1.2 S. 291; vgl. auch BGE 142 III 798 E. 2.2 S. 800 f.). Wie aus dem Wortlaut deutlich wird, ist nicht die Gewissheit, sondern nur die Möglichkeit eines Rechtsnachteils erforderlich ( BGE 137 V 314 E. 2.2.1 S. 317 mit Hinweis). Es obliegt der beschwerdeführenden Partei, die Tatsachen darzulegen, aus denen sich der nicht wieder gutzumachende Nachteil ergeben soll, sofern dies nicht offensichtlich ist ( BGE 141 IV 289 E. 1.3 S. 292).</w:t>
      </w:r>
    </w:p>
    <w:p>
      <w:r>
        <w:rPr>
          <w:b/>
        </w:rPr>
        <w:t>E. 1.3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Schweizerische Strafprozessordnung vom 5. Oktober 2007 (StPO, SR 312.0) konkretisiert den Verfassungsanspruch auf unentgeltliche Verbeiständung, indem sie dieses Recht in Bezug auf die beschuldigte Person ( Art. 132 ff. StPO ) und die Privatklägerschaft ( Art. 136 ff. StPO ) näher regelt ( BGE 144 IV 299 E. 2.1 S. 300).</w:t>
      </w:r>
    </w:p>
    <w:p>
      <w:r>
        <w:t>Nach Art. 134 Abs. 2 StPO , der gemäss Art. 137 StPO sinngemäss auf den Wechsel der Verbeiständung einer Privatklägerschaft anzuwenden ist,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Diese Vorschrift geht über die Praxis vor Inkrafttreten der Strafprozessordnung hinaus. Sie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(Botschaft vom 21. Dezember 2005 zur Vereinheitlichung des Strafprozessrechts, BBl 2006 1180 Ziff. 2.3.4.2).</w:t>
      </w:r>
    </w:p>
    <w:p>
      <w:r>
        <w:t>Wird die subjektive Sichtweise der beschuldigten Person und sinngemäss der Privatklägerschaft in den Vordergrund gestellt, bedeutet dies aber nicht, dass allein deren Empfinden für einen Wechsel der Rechtsvertretung ausreicht. Der Umstand, dass es sich bei einem unentgeltlichen Rechtsbeistand nicht (oder nicht mehr) um den Wunschanwalt handelt, schliesst eine wirksame und ausreichende Verteidigung noch nicht aus ( BGE 139 IV 113 E. 1.1 S. 115). Vielmehr muss die Störung des Vertrauensverhältnisses mit konkreten Hinweisen belegt und objektiviert werden (vgl. BGE 138 IV 161 E. 2.4 S. 165; Urteil 1B_103/2017 vom 27. April 2017 E. 2.3). Dieser Grundsatz ist auch mit Blick auf die Verbeiständung einer Privatklägerschaft in einem Strafverfahren zu beachten (Urteil 1B_198/2017 vom 12. Juni 2017 E. 2; zur parallelen Rechtsprechung auf dem Gebiet der Zivilprozessordnung vgl. Urteile 4A_106/2017 vom 4. Juli 2017 E. 3.2; 5A_153/2014 vom 10. Juli 2014 E. 1.2.1). Auch eine Eigenschaft als Opfer im Sinne des Bundesgesetzes über die Hilfe an Opfer von Straftaten vom 23. März 2007 (SR 312.5) rechtfertigt es nicht, den Massstab, dass das Vertrauensverhältnis im vorliegenden Zusammenhang bei objektiver Betrachtung erheblich gestört sein muss, herabzusetzen. Soweit die Beschwerdeführerin etwas anderes behauptet, kann ihr nicht gefolgt werden.</w:t>
      </w:r>
    </w:p>
    <w:p>
      <w:r>
        <w:rPr>
          <w:b/>
        </w:rPr>
        <w:t>E. 1.4</w:t>
      </w:r>
    </w:p>
    <w:p>
      <w:r>
        <w:t>Entsprechend den Anforderungen von Art. 134 Abs. 2 StPO hat die Rechtsprechung die Gefahr eines nicht wieder gutzumachenden Nachteils hinsichtlich des Wechsels der amtlichen Verteidigung insbesondere dann bejaht, wenn die bestellte Rechtsbeistandschaft ihre Pflichten erheblich vernachlässigt oder zwischen ihr und der beschuldigten Person keine Vertrauensbasis mehr besteht (vgl. BGE 139 IV 113 E. 1.1 S. 115 f.; Urteile 1B_297/2015 vom 26. Oktober 2015 E. 1.2, in: Pra 2016 Nr. 9 S. 68; 1B_259/2016 vom 11. Januar 2017 E. 2.5, in: Pra 2017 Nr. 32 S. 292). Im vorliegenden Fall ist keiner dieser Gründe ersichtlich. Auch die Beschwerdeführerin tut nicht dar, dass eine der genannten Konstellationen gegeben sein soll. Wie die Vorinstanz festgehalten hat, wurde die unentgeltliche Rechtsbeiständin auf Wunsch der Beschwerdeführerin eingesetzt. In der Beschwerdeschrift wird ausdrücklich festgehalten, dass es nicht darum gehe, der bisherigen Vertreterin Pflichtwidrigkeiten vorzuwerfen, sondern um den Wunsch der Beschwerdeführerin, die Beistandschaft zu wechseln. Weiter wird ausgeführt, angesichts fehlender Fortschritte im Verfahren habe ein Verlust des Vertrauens in das Rechtssystem gedroht. Es wird jedoch weder aufgezeigt noch ist erkennbar, weshalb dieser behauptete Umstand den Wechsel der Beistandschaft im konkreten Fall erfordern würde.</w:t>
      </w:r>
    </w:p>
    <w:p>
      <w:r>
        <w:rPr>
          <w:b/>
        </w:rPr>
        <w:t>E. 1.5</w:t>
      </w:r>
    </w:p>
    <w:p>
      <w:r>
        <w:t>Andere stichhaltige Gründe für einen nicht wieder gutzumachenden Nachteil lassen sich ebenso wenig erblicken. Die Beschwerdeführerin weist darauf hin, dass ihre unentgeltliche Rechtsvertreterin nicht zu der kurzfristig anberaumten Konfrontationseinvernahme vom 23. Dezember 2019 erscheinen konnte. Stattdessen habe die für den Wechsel vorgeschlagene Rechtsanwältin die Beschwerdeführerin begleitet. Nachdem es gelungen ist, einen Ersatz für die verhinderte Rechtsvertreterin bei diesem Termin zu organisieren, kann daraus kein nicht wieder gutzumachender Nachteil entstehen.</w:t>
      </w:r>
    </w:p>
    <w:p>
      <w:r>
        <w:t>Weiter bringt die Beschwerdeführerin das Anliegen vor, sich in ihrer Muttersprache Tschechisch mit der Rechtsbeiständin austauschen zu können. Dem angefochtenen Entscheid lässt sich entnehmen, dass die Beschwerdeführerin hinreichend Deutsch versteht und spricht. Dies bestreitet die Beschwerdeführerin vor Bundesgericht nicht substanziiert. Die fehlende Gelegenheit zum Austausch mit einer Rechtsvertreterin in der Muttersprache kann unter diesen Umständen ebenfalls keinen hinreichenden Nachteil begründen.</w:t>
      </w:r>
    </w:p>
    <w:p>
      <w:r>
        <w:rPr>
          <w:b/>
        </w:rPr>
        <w:t>E. 1.6</w:t>
      </w:r>
    </w:p>
    <w:p>
      <w:r>
        <w:t>Auch die von der Beschwerdeführerin angerufenen Garantien von Art. 6 EMRK bieten keinen Anlass zu einer anderen Beurteilung. Mit Blick auf diese Ansprüche wäre nur dann die Gefahr eines nicht wieder gutzumachenden Nachteil gegeben, wenn eine ausreichende Verteidigung in Frage gestellt wäre (vgl. Urteil 1B_271/2020 vom 3. Juni 2020 E. 2.3).</w:t>
      </w:r>
    </w:p>
    <w:p>
      <w:r>
        <w:rPr>
          <w:b/>
        </w:rPr>
        <w:t>E. 1.7</w:t>
      </w:r>
    </w:p>
    <w:p>
      <w:r>
        <w:t>In der Beschwerde an das Bundesgericht wird die Aufhebung des angefochtenen Entscheids beantragt. Soweit sich die Beschwerdeführerin damit gegen die vorinstanzliche Kostenverlegung wenden sollte, fehlt es an einer rechtsgenüglichen Beschwerdebegründung in dieser Hinsicht ( Art. 42 Abs. 2 BGG ).</w:t>
      </w:r>
    </w:p>
    <w:p>
      <w:r>
        <w:rPr>
          <w:b/>
        </w:rPr>
        <w:t>E. 2</w:t>
      </w:r>
    </w:p>
    <w:p>
      <w:r>
        <w:t>Nach dem Gesagten ist auf die Beschwerde nicht einzutreten.</w:t>
      </w:r>
    </w:p>
    <w:p>
      <w:r>
        <w:t>Da die Beschwerde aussichtslos war, ist das Gesuch um unentgeltliche Rechtspflege und Verbeiständung abzuweisen ( Art. 64 BGG ). Unter den gegebenen Umständen rechtfertigt es sich aber, auf die Erhebung von Gerichtskosten zu verzichten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