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1B_204/2016 vom 22. Juli 2016</w:t>
      </w:r>
    </w:p>
    <w:p>
      <w:r>
        <w:t>Bundesgericht, 2016-07-22, DE</w:t>
      </w:r>
    </w:p>
    <w:p>
      <w:r>
        <w:rPr>
          <w:b/>
        </w:rPr>
        <w:t xml:space="preserve">Quelle: </w:t>
      </w:r>
      <w:r>
        <w:t>https://mcp.opencaselaw.ch/entscheid/bger_1B_204_2016</w:t>
      </w:r>
    </w:p>
    <w:p>
      <w:r>
        <w:t>FR: TF 1B_204/2016 du 22 juillet 2016</w:t>
      </w:r>
    </w:p>
    <w:p>
      <w:r>
        <w:t>IT: TF 1B_204/2016 del 22 luglio 2016</w:t>
      </w:r>
    </w:p>
    <w:p>
      <w:pPr>
        <w:pStyle w:val="Heading2"/>
      </w:pPr>
      <w:r>
        <w:t>Erwägungen</w:t>
      </w:r>
    </w:p>
    <w:p>
      <w:r>
        <w:rPr>
          <w:b/>
        </w:rPr>
        <w:t>E. 1</w:t>
      </w:r>
    </w:p>
    <w:p>
      <w:r>
        <w:t>Das Bundesgericht prüft die Eintretensvoraussetzungen von Amtes wegen und mit freier Kognition ( Art. 29 Abs. 1 BGG ; BGE 139 III 133 E. 1 S. 133).</w:t>
      </w:r>
    </w:p>
    <w:p>
      <w:r>
        <w:rPr>
          <w:b/>
        </w:rPr>
        <w:t>E. 2</w:t>
      </w:r>
    </w:p>
    <w:p>
      <w:r>
        <w:t>Gegen den wie hier kantonal letztinstanzlichen Entscheid (vgl. Art. 222 StPO und Art. 80 BGG ) über Haftverfügungen steht grundsätzlich die Beschwerde in Strafsachen an das Bundesgericht nach Art. 78 ff. BGG offen.</w:t>
      </w:r>
    </w:p>
    <w:p>
      <w:r>
        <w:rPr>
          <w:b/>
        </w:rPr>
        <w:t>E. 3.1</w:t>
      </w:r>
    </w:p>
    <w:p>
      <w:r>
        <w:t>Nach Art. 81 Abs. 1 BGG ist zur Beschwerde in Strafsachen berechtigt, wer vor der Vorinstanz am Verfahren teilgenommen hat oder keine Möglichkeit dazu hatte und ein rechtlich geschütztes Interesse an der Aufhebung oder Änderung des angefochtenen Entscheids hat, wozu insbesondere die beschuldigte Person zählt. Nach der Rechtsprechung muss der Beschwerdeführer ein aktuelles praktisches Interesse an der Behandlung der Beschwerde haben. Mit diesem Erfordernis soll sichergestellt werden, dass das Gericht konkrete und nicht bloss theoretische Fragen entscheidet. Es dient damit der Prozessökonomie ( BGE 133 II 81 E. 3 S. 84 ; 125 I 394 E. 4a S. 397; je mit Hinweisen).</w:t>
      </w:r>
    </w:p>
    <w:p>
      <w:r>
        <w:rPr>
          <w:b/>
        </w:rPr>
        <w:t>E. 3.2</w:t>
      </w:r>
    </w:p>
    <w:p>
      <w:r>
        <w:t>Der Beschwerdeführer war am vorinstanzlichen Verfahren beteiligt und ist als beschuldigte Person bzw. Häftling sowie als direkter Adressat des angefochtenen Entscheides davon betroffen. Die hier angefochtene Untersuchungshaft wurde längstens bis zum 19. Mai 2016 angeordnet. Ihre Dauer war also schon im Zeitpunkt des vorinstanzlichen Entscheids vom 24. Mai 2016 abgelaufen. Selbst die im Nachgang dazu am 18. Mai 2016 verfügte Sicherheitshaft verschafft dem Beschwerdeführer nicht einmal mehr indirekt ein aktuelles Interesse an der Haftfrage, nachdem er mit Entscheid des Appellationsgerichts vom 2. Juni 2016 am 3. Juni 2016 aus der Haft entlassen worden ist.</w:t>
      </w:r>
    </w:p>
    <w:p>
      <w:r>
        <w:rPr>
          <w:b/>
        </w:rPr>
        <w:t>E. 3.3</w:t>
      </w:r>
    </w:p>
    <w:p>
      <w:r>
        <w:t>Ausnahmsweise, vor allem mit Blick auf Art. 5 EMRK und gegebenenfalls Art. 13 EMRK , aber auch,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verfassungsrechtlich geprüft werden könnten, behandelt das Bundesgericht eine Haftbeschwerde trotz Wegfalls des aktuellen praktischen Interesses ( BGE 136 I 274 E. 1.3 S. 276 f. ; 125 I 395 E. 4b S. 397).</w:t>
      </w:r>
    </w:p>
    <w:p>
      <w:r>
        <w:rPr>
          <w:b/>
        </w:rPr>
        <w:t>E. 3.4</w:t>
      </w:r>
    </w:p>
    <w:p>
      <w:r>
        <w:t>Der vorliegende Fall stellt hinsichtlich der Haftfrage als solcher keine grundsätzlichen Fragen, an deren Beantwortung ein hinreichendes öffentliches Interesse besteht. Für den Beschwerdeführer selbst ist sodann nicht einmal mehr die Entschädigungsfrage von Belang, nachdem ihm für die Haft bereits integral eine Entschädigung zugesprochen worden ist. Dieser Entscheid ist zwar möglicherweise noch nicht rechtskräftig; der Verfahrenspunkt der Haftentschädigung bildet aber bereits Gegenstand im entsprechenden Strafverfahren bzw. in einem allfälligen Rechtsmittelverfahren. Der Beschwerdeführer verfügt damit unter keinem ersichtlichen Gesichtspunkt über ein aktuelles Interesse an der Feststellung der Rechtmässigkeit bzw. der angeblichen Rechtswidrigkeit der Haft oder Teilen derselben im vorliegenden Verfahren. Insofern kann daher auf die Beschwerde nicht eingetreten werden.</w:t>
      </w:r>
    </w:p>
    <w:p>
      <w:r>
        <w:rPr>
          <w:b/>
        </w:rPr>
        <w:t>E. 3.5</w:t>
      </w:r>
    </w:p>
    <w:p>
      <w:r>
        <w:t>Der Beschwerdeführer ist jedoch beschwert und verfügt, namentlich mit Blick auf seinen Anspruch auf eine wirksame Haftbeschwerde (Art. 5 i.V.m. Art. 13 EMRK ), über ein aktuelles Interesse, soweit ihm für das vorinstanzliche Verfahren Kosten von Fr. 500.-- auferlegt worden sind. Insoweit ist auf die Beschwerde einzutreten.</w:t>
      </w:r>
    </w:p>
    <w:p>
      <w:r>
        <w:rPr>
          <w:b/>
        </w:rPr>
        <w:t>E. 4</w:t>
      </w:r>
    </w:p>
    <w:p>
      <w:r>
        <w:t>Wohl hatte das Appellationsgericht im vorliegenden Fall die Rechtslage in der Sache lediglich summarisch im Hinblick auf die Kostenfrage zu beurteilen, weil es das Beschwerdeverfahren als gegenstandslos abschrieb. Bereits am 10. Mai 2016 erging jedoch die Anklageschrift, womit im Zeitpunkt des Endes der Untersuchungshaft am 19. Mai 2016 bzw. des angefochtenen Entscheids am 24. Mai 2016 die Kollusionsgefahr nicht mehr offensichtlich erschien. Die Vorinstanz hält im angefochtenen Entscheid selbst fest, das Zwangsmassnahmengericht habe zu Recht erwartet, dass die Staatsanwaltschaft die erforderliche Konfrontationseinvernahme innert der Frist von vier Wochen vornehme, was offenbar nicht geschehen sei. Es bestehen keine Anhaltspunkte dafür, dass es dem Beschwerdeführer anzulasten wäre, dass die Staatsanwaltschaft vor Verfassen der Anklageschrift bzw. vor dem vorinstanzlichen Entscheid keine solche Konfrontationseinvernahme durchgeführt hat. Damit lässt sich die Haft nicht mit Kollusionsgefahr begründen, nachdem diese gerade massgeblich mit Blick auf die ausstehende Konfrontationseinvernahme gerechtfertigt wurde. Es erweist sich demnach als unzulässig, dem Beschwerdeführer für den vorinstanzlichen Entscheid Verfahrenskosten aufzuerlegen. Insoweit ist der angefochtene Entscheid aufzuheben.</w:t>
      </w:r>
    </w:p>
    <w:p>
      <w:r>
        <w:rPr>
          <w:b/>
        </w:rPr>
        <w:t>E. 5</w:t>
      </w:r>
    </w:p>
    <w:p>
      <w:r>
        <w:t>Die Beschwerde erweist sich als begründet, soweit darauf eingetreten werden kann, und der angefochtene Entscheid ist aufzuheben, soweit dem Beschwerdeführer damit Kosten auferlegt wurden.</w:t>
      </w:r>
    </w:p>
    <w:p>
      <w:r>
        <w:t>Der Beschwerdeführer obsiegt nur teilweise, da auf seine Beschwerde nur zum Teil eingetreten wird. Weil er offensichtlich bedürftig ist und seine Begehren nicht von vornherein aussichtslos erscheinen, ist ihm jedoch antragsgemäss die unentgeltliche Rechtspflege und Verbeiständung zu gewähren (vgl. Art. 64 BGG ). Damit sind keine Kosten zu erheben ( Art. 64 Abs. 1 und Art. 66 Abs. 4 BGG ). Der Kanton Basel-Stadt hat dem Rechtsvertreter des Beschwerdeführers für das bundesgerichtliche Verfahren eine reduzierte Parteientschädigung auszurichten (vgl. Art. 68 BGG ); im Übrigen wird dieser aus der Bundesgerichtskasse entschädigt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