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204/2010 vom 28. September 2010</w:t>
      </w:r>
    </w:p>
    <w:p>
      <w:r>
        <w:t>Bundesgericht, 2010-09-28, FR</w:t>
      </w:r>
    </w:p>
    <w:p>
      <w:r>
        <w:rPr>
          <w:b/>
        </w:rPr>
        <w:t xml:space="preserve">Quelle: </w:t>
      </w:r>
      <w:r>
        <w:t>https://mcp.opencaselaw.ch/entscheid/bger_1B_204_2010</w:t>
      </w:r>
    </w:p>
    <w:p>
      <w:r>
        <w:t>FR: TF 1B 204/2010 du 28 septembre 2010</w:t>
      </w:r>
    </w:p>
    <w:p>
      <w:r>
        <w:t>IT: TF 1B 204/2010 del 28 settembre 2010</w:t>
      </w:r>
    </w:p>
    <w:p>
      <w:pPr>
        <w:pStyle w:val="Heading2"/>
      </w:pPr>
      <w:r>
        <w:t>Regeste</w:t>
      </w:r>
    </w:p>
    <w:p>
      <w:r>
        <w:t>séquestre | Procédure pénale</w:t>
      </w:r>
    </w:p>
    <w:p>
      <w:pPr>
        <w:pStyle w:val="Heading2"/>
      </w:pPr>
      <w:r>
        <w:t>Erwägungen</w:t>
      </w:r>
    </w:p>
    <w:p>
      <w:r>
        <w:rPr>
          <w:b/>
        </w:rPr>
        <w:t>E. 1</w:t>
      </w:r>
    </w:p>
    <w:p>
      <w:r>
        <w:t>Selon l' art. 79 LTF , le recours en matière pénale est recevable contre les arrêts de la Cour des plaintes qui portent sur des mesures de contraintes. Il en va ainsi des décisions relatives à un séquestre fondé sur l' art. 46 DPA (arrêt 6B_205/2007 du 27 octobre 2007).</w:t>
      </w:r>
    </w:p>
    <w:p>
      <w:r>
        <w:rPr>
          <w:b/>
        </w:rPr>
        <w:t>E. 1.1</w:t>
      </w:r>
    </w:p>
    <w:p>
      <w:r>
        <w:t>La décision par laquelle le juge prononce ou maintient un séquestre pénal constitue une décision incidente, qui ne met pas fin à la procédure ( ATF 128 I 129 consid. 1 p. 131; 126 I 97 consid. 1b p. 100 et les références). Dès lors, conformément à l' art. 93 al. 1 let. a LTF , une telle décision ne peut faire l'objet d'un recours devant le Tribunal fédéral que si elle peut causer un préjudice irréparable. Selon la jurisprudence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w:t>
      </w:r>
    </w:p>
    <w:p>
      <w:r>
        <w:rPr>
          <w:b/>
        </w:rPr>
        <w:t>E. 1.2</w:t>
      </w:r>
    </w:p>
    <w:p>
      <w:r>
        <w:t>Les recourants ont participé à la procédure devant l'instance précédente ( art. 81 al. 1 let. a LTF ) et disposent, en tant que titulaires des comptes séquestrés, d'un intérêt juridique évident à l'annulation de l'arrêt attaqué et à l'éventuelle suppression d'un titre de séquestre, même si leurs avoirs demeurent bloqués à un autre titre.</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133 II 249 consid. 1.4.2 p. 254; 130 I 26 consid. 2.1. p. 31, 258 consid. 1.3 p. 261s). Les critiques de nature appellatoire sont irrecevables (cf. ATF 133 III 585 consid. 4. p. 589; 130 I 258 consid. 1.3 et les arrêts cités).</w:t>
      </w:r>
    </w:p>
    <w:p>
      <w:r>
        <w:rPr>
          <w:b/>
        </w:rPr>
        <w:t>E. 2</w:t>
      </w:r>
    </w:p>
    <w:p>
      <w:r>
        <w:t>Les recourants invoquent leur droit d'être entendus. Ils reprochent à la Cour des plaintes de ne pas avoir examiné les griefs soulevés. Les recourants faisaient alors valoir que les mesures ordonnées par la DAPE ne pouvaient pas être maintenues après le rapport de 2006 mettant fin à l'enquête et la transmission de la cause à l'autorité cantonale, cette dernière ayant ordonné ses propres mesures de sûreté. Dans un second grief, les recourants se plaignaient de la durée du séquestre, soit six ans depuis son prononcé et quatre ans depuis la fin de l'enquête; dans un troisième grief, ils relevaient que, contrairement à ce que soutient la DAPE, les décisions cantonales de rappels d'impôts et d'amendes ne se prononçaient pas sur le séquestre fédéral.</w:t>
      </w:r>
    </w:p>
    <w:p>
      <w:r>
        <w:rPr>
          <w:b/>
        </w:rPr>
        <w:t>E. 2.1</w:t>
      </w:r>
    </w:p>
    <w:p>
      <w:r>
        <w:t>Conformément au droit d'être entendu ( art. 29 al. 2 Cst. ), l'autorité doit indiquer dans son prononcé les motifs qui la conduisent à sa décision ( ATF 136 I 229 consid. 5.5 p. 236).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En l'occurrence, l'arrêt attaqué examine l'admissibilité des séquestres au regard de l' art. 46 al. 1 let. b DPA et notamment la question des soupçons suffisants tels qu'ils résultent du rapport d'enquête. Sous l'angle de la proportionnalité, la Cour des plaintes a ensuite relevé que les montants d'impôts et d'amendes pouvaient être estimés sur la base des décisions de l'ACI, même si ces dernières n'étaient pas définitives, de sorte que l'ampleur des séquestres ne paraissait pas disproportionnée. Ces points n'étaient d'ailleurs pas contestés par les recourants. Cette motivation ne répond en revanche nullement aux griefs, a priori pertinents, soulevés dans la plainte. Elle ne traite en particulier ni du rapport entre les séquestres prononcés au niveau fédéral et les mesures de sûreté obtenues par l'ACI, ni de la proportionnalité du séquestre fédéral au regard de sa durée, soit actuellement sept ans. Cela ne satisfait manifestement pas à l'obligation de motiver. Il en résulte que le droit d'être entendu des recourants n'a pas été respecté.</w:t>
      </w:r>
    </w:p>
    <w:p>
      <w:r>
        <w:rPr>
          <w:b/>
        </w:rPr>
        <w:t>E. 3</w:t>
      </w:r>
    </w:p>
    <w:p>
      <w:r>
        <w:t>Sur le vu de ce qui précède, le recours doit être admis et les ch. 3 et 4 de l'arrêt attaqué (rejet de la plainte et frais) sont annulés. Suivant la nouvelle décision que la Cour des plaintes sera amenée à rendre, les recourants pourraient avoir droit à une indemnité de dépens plus élevée que celle qui est fixée au ch. 5 de l'arrêt attaqué. Ils ont toutefois expressément renoncé à contester ce point, et le Tribunal fédéral ne peut aller au-delà de leurs conclusions ( art. 107 al. 1 LTF ). La cause est donc renvoyée à la Cour des plaintes pour nouvelle décision au sens des considérants, y compris le cas échéant sur les frais de la procédure. Conformément à l' art. 66 al. 4 LTF , il n'est pas perçu de frais judiciaires. La Confédération (AFC) versera aux recourants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