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1B_203/2019 vom 9. Mai 2019</w:t>
      </w:r>
    </w:p>
    <w:p>
      <w:r>
        <w:t>Bundesgericht, 2019-05-09, FR</w:t>
      </w:r>
    </w:p>
    <w:p>
      <w:r>
        <w:rPr>
          <w:b/>
        </w:rPr>
        <w:t xml:space="preserve">Quelle: </w:t>
      </w:r>
      <w:r>
        <w:t>https://mcp.opencaselaw.ch/entscheid/bger_1B_203_2019</w:t>
      </w:r>
    </w:p>
    <w:p>
      <w:r>
        <w:t>FR: TF 1B_203/2019 du 9 mai 2019</w:t>
      </w:r>
    </w:p>
    <w:p>
      <w:r>
        <w:t>IT: TF 1B_203/2019 del 9 maggio 2019</w:t>
      </w:r>
    </w:p>
    <w:p>
      <w:pPr>
        <w:pStyle w:val="Heading2"/>
      </w:pPr>
      <w:r>
        <w:t>Erwägungen</w:t>
      </w:r>
    </w:p>
    <w:p>
      <w:r>
        <w:rPr>
          <w:b/>
        </w:rPr>
        <w:t>E. 1</w:t>
      </w:r>
    </w:p>
    <w:p>
      <w:r>
        <w:t>Par jugement du 17 janvier 2019, le Tribunal criminel des Montagnes et du Val-de-Ruz a reconnu A.________ coupable d'infractions aux art. 123, 177, 180 et 189 CP. Il l'a condamné à une peine privative de liberté de 4 ans, dont 147 jours de détention provisoire à déduire. Il a aussi ordonné son expulsion pour une durée de 10 ans.</w:t>
      </w:r>
    </w:p>
    <w:p>
      <w:r>
        <w:t>Par ordonnance du 3 mars 2018, Me B.________ avait été désigné avocat d'office du prénommé, ce mandat se poursuivant automatiquement en procédure d'appel.</w:t>
      </w:r>
    </w:p>
    <w:p>
      <w:r>
        <w:t>Par annonce d'appel du 18 janvier 2019 puis par déclaration d'appel du 18 février 2019, A.________, assisté de Me B.________, a interjeté appel contre le jugement du 17 janvier 2019 devant la Cour pénale du Tribunal cantonal du canton de Neuchâtel. Il a notamment conclu à l'annulation des points 1 à 7 du jugement du 17 janvier 2019, à ce qu'il soit libéré des préventions des infractions aux art. 180 et 189 CP et à ce que sa libération immédiate soit ordonnée.</w:t>
      </w:r>
    </w:p>
    <w:p>
      <w:r>
        <w:t>Le 11 mars 2019, A.________ a demandé que Me C.________, avocate à Genève, soit désignée comme avocate d'office en remplacement de Me B.________. Il a invoqué une rupture du lien de confiance avec Me B.________, précisant que ses déclarations n'ont pas été prises en compte en procédure. Par ordonnance du 2 avril 2019, la Cour pénale du Tribunal cantonal du canton de Neuchâtel a rejeté la requête de changement de défenseur d'office. Par acte du 1er mai 2019, A.________ recourt auprès du Tribunal fédéral contre l'ordonnance du 2 avril 2019 et demande la nomination de Me D.________ en remplacement de Me B.________.</w:t>
      </w:r>
    </w:p>
    <w:p>
      <w:r>
        <w:t>Il n'a pas été ordonné d'échange d'écritures.</w:t>
      </w:r>
    </w:p>
    <w:p>
      <w:r>
        <w:rPr>
          <w:b/>
        </w:rPr>
        <w:t>E. 2</w:t>
      </w:r>
    </w:p>
    <w:p>
      <w:r>
        <w:t>La contestation portant sur la défense d'office en matière pénale, le recours au Tribunal fédéral est régi par les art. 78 ss LTF .</w:t>
      </w:r>
    </w:p>
    <w:p>
      <w:r>
        <w:rPr>
          <w:b/>
        </w:rPr>
        <w:t>E. 2.1</w:t>
      </w:r>
    </w:p>
    <w:p>
      <w:r>
        <w:t>La décision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141 IV 284 consid. 2.2 p. 287).</w:t>
      </w:r>
    </w:p>
    <w:p>
      <w:r>
        <w:t>Selon la jurisprudence, le refus de relever l'avocat de sa mission de défenseur d'office n'entraîne aucun préjudice juridique car le prévenu continue d'être assisté par le défenseur désigné ( ATF 140 IV 202 consid. 2.2 p. 205). L'existence d'un tel dommage ne peut être admise que dans des circonstances particulières faisant craindre que l'avocat d'office désigné ne puisse pas défendre efficacement les intérêts du prévenu.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2.2</w:t>
      </w:r>
    </w:p>
    <w:p>
      <w:r>
        <w:t>En l'espèce, le recourant - qui continue d'être assisté dans la procédure pénale par le défenseur qui lui a été désigné - ne s'exprime nullement sur la question du préjudice irréparable, comme il lui incombait de le faire. Peu importe cependant car le recours ne répond de toute manière pas aux exigences de motivation requises.</w:t>
      </w:r>
    </w:p>
    <w:p>
      <w:r>
        <w:t>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La motivation doit être développée dans le mémoire de sorte qu'un renvoi aux actes cantonaux ou à de précédentes écritures ne suffit pas au regard de l' art. 42 al. 1 et 2 LTF ( ATF 138 I 171 consid. 1.4 p. 176).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La cour cantonale a considéré que le recourant ne faisait pas valoir de motifs suffisants pour obtenir un changement d'avocat d'office; la simple rupture du lien de confiance n'était pas suffisante pour remplacer l'avocat nommé d'office et en désigner un autre. Elle a ajouté qu'à la lecture du dossier de première instance et de la déclaration d'appel, elle ne discernait pas de manquement dans l'activité de Me B.________.</w:t>
      </w:r>
    </w:p>
    <w:p>
      <w:r>
        <w:t>Le recourant ne s'en prend pas à cette motivation et ne cherche pas à démontrer en quoi le rejet de sa requête violerait le droit. Il se contente d'affirmer "être victime d'injustice". On cherche en vain une quelconque argumentation dans son écriture. Me B.________ a par ailleurs déposé un appel contre le jugement de première instance démontrant ainsi qu'il continue à prendre sérieusement en compte les intérêts de son client.</w:t>
      </w:r>
    </w:p>
    <w:p>
      <w:r>
        <w:rPr>
          <w:b/>
        </w:rPr>
        <w:t>E. 3</w:t>
      </w:r>
    </w:p>
    <w:p>
      <w:r>
        <w:t>Le recours, insuffisamment motivé, doit par conséquent être déclaré irrecevable selon la procédure simplifiée prévue par l' art. 108 al. 1 let. b LTF . Vu les circonstances, le présent arrêt sera rendu sans frais conformément à l'art.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