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203/2014 vom 2. Oktober 2014</w:t>
      </w:r>
    </w:p>
    <w:p>
      <w:r>
        <w:t>Bundesgericht, 2014-10-02, FR</w:t>
      </w:r>
    </w:p>
    <w:p>
      <w:r>
        <w:rPr>
          <w:b/>
        </w:rPr>
        <w:t xml:space="preserve">Quelle: </w:t>
      </w:r>
      <w:r>
        <w:t>https://mcp.opencaselaw.ch/entscheid/bger_1B_203_2014</w:t>
      </w:r>
    </w:p>
    <w:p>
      <w:r>
        <w:t>FR: TF 1B 203/2014 du 2 octobre 2014</w:t>
      </w:r>
    </w:p>
    <w:p>
      <w:r>
        <w:t>IT: TF 1B 203/2014 del 2 ottobre 2014</w:t>
      </w:r>
    </w:p>
    <w:p>
      <w:pPr>
        <w:pStyle w:val="Heading2"/>
      </w:pPr>
      <w:r>
        <w:t>Regeste</w:t>
      </w:r>
    </w:p>
    <w:p>
      <w:r>
        <w:t>Refus de nomination d'un avocat d'office | Procédure pénale</w:t>
      </w:r>
    </w:p>
    <w:p>
      <w:pPr>
        <w:pStyle w:val="Heading2"/>
      </w:pPr>
      <w:r>
        <w:t>Erwägungen</w:t>
      </w:r>
    </w:p>
    <w:p>
      <w:r>
        <w:rPr>
          <w:b/>
        </w:rPr>
        <w:t>E. 1</w:t>
      </w:r>
    </w:p>
    <w:p>
      <w:r>
        <w:t>Le recours en matière pénale est ouvert contre une décision incidente par laquelle l'assistance judiciaire gratuite est refusée à une partie à la procédure pénale ( art. 78 al. 1 LTF ). Le refus de désigner un avocat d'office est susceptible de causer au prévenu un préjudice irréparable au sens de l' art. 93 al. 1 let. a LTF , de sorte qu'il peut faire l'objet d'un recours immédiat au Tribunal fédéral ( ATF 133 IV 335 consid. 4 p. 338 et les références). Pour le surplus, le recours est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Le recourant, dont l'indigence n'est pas contestée, reproche à la cour cantonale une violation de l' art. 132 CPP . Il soutient que sa cause ne serait pas dénuée de gravité dès lors que la peine privative de liberté requise par le Ministère public serait de 122 jours. De plus, au regard de l'art. 115 al. 1 let. b LEtr et du fait que l'autorité de jugement de première instance peut statuer au détriment du prévenu, il pourrait se voir infliger une peine privative de liberté allant jusqu'à un an. Sa cause présenterait également des difficultés en fait et en droit que seul un avocat serait à même de relever et d'invoquer; à cet égard, le recourant allègue en substance qu'une perquisition illégale de son téléphone aurait été effectuée, que le Ministère public n'aurait pas instruit à décharge et que l'autorité précédente appliquerait de manière erronée la loi sur les étrangers, ainsi que la jurisprudence du Tribunal fédéral y relative.</w:t>
      </w:r>
    </w:p>
    <w:p>
      <w:r>
        <w:rPr>
          <w:b/>
        </w:rPr>
        <w:t>E. 2.1</w:t>
      </w:r>
    </w:p>
    <w:p>
      <w:r>
        <w:t>En dehors des cas de défense obligatoire (cf. art. 130 CPP ), l' art. 132 al. 1 let. b CPP soumet à deux conditions le droit à l'assistance d'un défenseur d'office : le prévenu doit être indigent et la sauvegarde de ses intérêts doit justifier une telle assistance. Cette seconde condition s'interprète à l'aune des critères mentionnés à l' art. 132 al. 2 et 3 CPP . Ainsi, les intérêts du prévenu justifient une défense d'office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d'une peine pécuniaire de plus de 120 jours-amende ou d'un travail d'intérêt général de plus de 480 heures ( art. 132 al. 3 CPP ).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1B_257/2013 du 28 octobre 2013 consid. 2.1 publié in SJ 2014 I 273 et les références citées) et des mesures qui paraissent nécessaires, dans le cas particulier, pour assurer sa défense, notamment en ce qui concerne les preuves qu'il devra offrir ( ATF 115 Ia 103 consid. 4 p. 105).</w:t>
      </w:r>
    </w:p>
    <w:p>
      <w:r>
        <w:rPr>
          <w:b/>
        </w:rPr>
        <w:t>E. 2.2</w:t>
      </w:r>
    </w:p>
    <w:p>
      <w:r>
        <w:t>En l'espèce, s'agissant de la première condition posée par l' art. 132 al. 2 CPP (gravité de la cause), le recourant est notamment prévenu d'infractions à l'art. 115 al. 1 let. b LEtr, ainsi qu'à l' art. 19 al. 1 LStup . Les peines privatives de liberté possibles en application de ces dispositions sont d'une durée d'un an au plus pour la première et de trois ans au plus pour la seconde. Il en résulte que le cadre de la peine envisageable n'est pas limité à quatre mois (cf. en particulier l' art. 49 CP ); cela vaut d'ailleurs même dans l'hypothèse où la seconde infraction ne devait pas être retenue à l'encontre du recourant. De plus, l'autorité de jugement de première instance n'est pas liée par la peine de 120 jours prononcée, respectivement requise, par le Ministère public dans l'ordonnance pénale, celle-ci équivalant à la suite de l'opposition formée par le recourant à un acte d'accusation (cf. art. 356 al. 1 et 326 al. 1 let. f CPP). Il ne peut donc être exclu que le juge de première instance statue sur la question de la quotité de la peine en défaveur du recourant ( MOREILLON/PAREIN-REYMOND, Petit commentaire CPP, 2013, n° 2 ad art. 356 CPP ). Il en résulte que sa cause n'est pas dénuée de toute gravité ( art. 132 al. 2 et 3 CPP ).</w:t>
      </w:r>
    </w:p>
    <w:p>
      <w:r>
        <w:rPr>
          <w:b/>
        </w:rPr>
        <w:t>E. 2.3</w:t>
      </w:r>
    </w:p>
    <w:p>
      <w:r>
        <w:t>Quant à la difficulté de la cause - deuxième condition exigée par l' art. 132 al. 2 CPP -, elle est notamment liée à l'application de l'art. 115 al. 1 let. b LEtr, disposition qui réprime pénalement le séjour illégal en Suisse. Selon le Tribunal fédéral, l'art. 115 al. 1 let. b LEtr doit être interprété conformément à la jurisprudence de la Cour de justice de l'Union européenne en rapport avec la directive du Parlement européen et du Conseil de l'Union européenne du 16 décembre 2008 sur le retour; en d'autres termes, pour être applicables, les dispositions pénales nationales - telles que l'art. 115 LEtr - supposent que les autorités administratives ont entrepris toutes les mesures raisonnables pour l'exécution de la décision de retour mais que la procédure y relative a échoué en raison du comportement de l'intéressé (arrêt 6B_173/2013 du 19 août 2013 consid. 1.4 et les références citées). Il ressort également de la jurisprudence européenne que les ressortissants de pays tiers, qui ont commis un ou plusieurs autres délits que celui de séjour irrégulier, peuvent être soustraits du champ d'application de la directive précitée; à la suite de cette jurisprudence, le Tribunal fédéral a ainsi considéré que la directive européenne sur le retour ne s'appliquait pas à un ressortissant syrien qui, en plus du séjour irrégulier, était condamné pour contravention à l' art. 19a LStup et délit au sens de l' art. 286 CP (arrêt 6B_320/2013 du 29 août 2013 consid. 3.2). En l'espèce, le recourant conteste tout délit au sens de l' art. 19 al. 1 LStup , n'admettant qu'une contravention à cette législation. Au regard de la jurisprudence fédérale précitée, si seule une contravention à la LStup devait être tenue à son encontre, cela pourrait, cas échéant, influencer le droit applicable, respectivement le type de peine qui pourrait être prononcé. Or, il ne peut être attendu de simples justiciables de connaître de telles nuances juridiques (cf. notamment art. 10 CP ), ainsi que leur possible impact sur leur cause; cela vaut d'autant plus que le raisonnement du Tribunal fédéral relatif à cette possibilité et a priori applicable en l'espèce est fondé sur une interprétation du droit suisse au regard de la jurisprudence européenne. La cause du recourant n'est dès lors pas dénuée de toute complexité, notamment sur le plan du droit (cf. également arrêt 1B_231/2014 du 8 août 2014 consid. 2.2 et 2.3).</w:t>
      </w:r>
    </w:p>
    <w:p>
      <w:r>
        <w:rPr>
          <w:b/>
        </w:rPr>
        <w:t>E. 2.4</w:t>
      </w:r>
    </w:p>
    <w:p>
      <w:r>
        <w:t>Partant, la Chambre pénale des recours a violé le droit fédéral en considérant que les conditions de l' art. 132 al. 2 CPP n'étaient pas réalisées en l'espèce.</w:t>
      </w:r>
    </w:p>
    <w:p>
      <w:r>
        <w:rPr>
          <w:b/>
        </w:rPr>
        <w:t>E. 3</w:t>
      </w:r>
    </w:p>
    <w:p>
      <w:r>
        <w:t>Il s'ensuit que le recours est admis et l'arrêt du 2 mai 2014 est annulé. Le Tribunal fédéral statue lui-même sur le fond ( art. 107 al. 2 LTF ). L'assistance judiciaire est accordée au recourant et Me Jacques Emery lui est désigné en tant qu'avocat d'office. Le recourant, qui obtient gain de cause avec l'assistance d'un avocat, a droit à des dépens pour la procédure cantonale et fédérale à la charge de la République et canton de Genève ( art. 68 al. 1 et 5 LTF ). Dans ces conditions, sa requête d'assistance judiciaire pour la présente procédure est sans objet. Il n'est pas perçu de frais judiciaires pour les procédures fédérale et cantonale (art. 66 al. 4 et 107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