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1B_201/2015 vom 1. September 2015</w:t>
      </w:r>
    </w:p>
    <w:p>
      <w:r>
        <w:t>Bundesgericht, 2015-09-01, FR</w:t>
      </w:r>
    </w:p>
    <w:p>
      <w:r>
        <w:rPr>
          <w:b/>
        </w:rPr>
        <w:t xml:space="preserve">Quelle: </w:t>
      </w:r>
      <w:r>
        <w:t>https://mcp.opencaselaw.ch/entscheid/bger_1B_201_2015</w:t>
      </w:r>
    </w:p>
    <w:p>
      <w:r>
        <w:t>FR: TF 1B_201/2015 du 1 septembre 2015</w:t>
      </w:r>
    </w:p>
    <w:p>
      <w:r>
        <w:t>IT: TF 1B_201/2015 del 1 settembre 2015</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133 IV 335 consid. 4 p. 338).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reproche à la cour cantonale d'avoir considéré à tort que la cause ne remplissait pas la condition de la gravité de l' art. 132 al. 2 CPP . Il y aurait lieu de se référer à la peine menace des infractions en cause et non à celle prononcée dans l'ordonnance pénale par le Ministère public. En outre, sa cause présenterait des difficultés en fait et en droit en lien avec l'infraction à l'art. 115 al. 1 let. b LEtr.</w:t>
      </w:r>
    </w:p>
    <w:p>
      <w:r>
        <w:t>En dehors des cas de défense obligatoire, l' art. 132 al. 1 let. b CPP soumet le droit à l'assistance d'un défenseur d'office aux conditions que le prévenu soit indigent - ce qui n'est pas contesté en l'espèce - et que la sauvegarde de ses intérêts justifie une telle assistance. S'agissant de la seconde condition, elle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ces deux conditions mentionnées à l' art. 132 al. 2 CPP doivent être réunies cumulativement. Selon l' art. 132 al. 3 CPP , une affaire n'est pas de peu de gravité lorsque le prévenu est passible d'une peine privative de liberté de plus de quatre mois, d'une peine pécuniaire de plus de 120 jours-amende ou d'un travail d'intérêt général de plus de 480 heures.</w:t>
      </w:r>
    </w:p>
    <w:p>
      <w:r>
        <w:t>En l'espèce, le recourant est prévenu d'infractions à l' art. 19 al. 1 LStup et à l'art. 115 al. 1 let. b LEtr, passibles d'une peine privative de liberté de trois ans respectivement d'un an au plus ou d'une peine pécuniaire. Il a fait l'objet d'une ordonnance pénale le condamnant à une peine pécuniaire de 30 jours-amende à 30 fr. le jour. L'autorité de jugement de première instance n'est certes pas liée par la peine prononcée, respectivement requise, par le Ministère public dans l'ordonnance pénale, celle-ci équivalant à la suite de l'opposition formée par le recourant à un acte d'accusation (cf. art. 356 al. 1 et 326 al. 1 let. f CPP). Il n'est donc - à rigueur de droit - pas exclu que le juge de première instance statue sur la question de la quotité de la peine en défaveur du recourant (arrêt 1B_67/2015 du 14 avril 2015 consid. 2.2). Cependant, à l'instar de ce qui prévaut en matière d'appel dirigé contre une condamnation de première instance, la peine prononcée constitue un indice quant à la peine concrète susceptible de devoir finalement être exécutée ( ATF 139 IV 270 consid. 3.1 p. 275).</w:t>
      </w:r>
    </w:p>
    <w:p>
      <w:r>
        <w:t>Le recourant n'a aucun antécédent en Suisse et ne s'expose pas à la révocation éventuelle d'un sursis assorti à une précédente peine pécuniaire ou privative de liberté. Il lui est reproché d'avoir séjourné illégalement en Suisse depuis le 30 juillet 2014 et d'avoir détenu 8,8 grammes de marijuana en vue de sa revente. En considérant sur la base de ces faits que le recourant était passible d'une peine nettement moins élevée que les 120 jours-amende fixés par l' art. 132 al. 2 CPP même si le Tribunal de police devait aggraver la peine prononcée par le Ministère public, la cour cantonale n'a pas violé le droit fédéral. En effet, contrairement à ce que soutient le recourant, pour apprécier la gravité d'une infraction déterminée, il ne faut pas se fonder sur la seule peine menace prévue par la loi mais il convient surtout de tenir compte des circonstances particulières de l'espèce et de la peine concrètement encourue (arrêt 1B_138/2015 du 1</w:t>
      </w:r>
    </w:p>
    <w:p>
      <w:r>
        <w:t>er juillet 2015 consid. 2.3). Dans ces conditions, il n'y a pas lieu d'examiner la seconde condition d'application de l' art. 132 al. 2 CPP liée aux prétendues difficultés de l'affaire.</w:t>
      </w:r>
    </w:p>
    <w:p>
      <w:r>
        <w:t>La jurisprudence admet certes que l'intervention d'un défenseur puisse être justifiée par d'autres motifs, en particulier dans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1B_234/2013 du 20 août 2013 consid. 5.1). Aucune de ces hypothèses n'entre en ligne de compte en l'occurrence. En particulier, le fait allégué que le recourant s'exposerait, en raison de son statut, à d'autres sanctions pénales pour violation de l'art. 115 al. 1 let. b LEtr ne constitue pas un motif suffisant pour lui accorder un défenseur d'office.</w:t>
      </w:r>
    </w:p>
    <w:p>
      <w:r>
        <w:rPr>
          <w:b/>
        </w:rPr>
        <w:t>E. 3</w:t>
      </w:r>
    </w:p>
    <w:p>
      <w:r>
        <w:t>Le recours doit par conséquent être rejeté. Cette issue était d'emblée prévisible, ce qui conduit au rejet de la demande d'assistance judiciaire. Vu les circonstances, il sera exceptionnellement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