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1B_201/2014 vom 19. Juni 2014</w:t>
      </w:r>
    </w:p>
    <w:p>
      <w:r>
        <w:t>Bundesgericht, 2014-06-19, FR</w:t>
      </w:r>
    </w:p>
    <w:p>
      <w:r>
        <w:rPr>
          <w:b/>
        </w:rPr>
        <w:t xml:space="preserve">Quelle: </w:t>
      </w:r>
      <w:r>
        <w:t>https://mcp.opencaselaw.ch/entscheid/bger_1B_201_2014</w:t>
      </w:r>
    </w:p>
    <w:p>
      <w:r>
        <w:t>FR: TF 1B_201/2014 du 19 juin 2014</w:t>
      </w:r>
    </w:p>
    <w:p>
      <w:r>
        <w:t>IT: TF 1B_201/2014 del 19 giugno 2014</w:t>
      </w:r>
    </w:p>
    <w:p>
      <w:pPr>
        <w:pStyle w:val="Heading2"/>
      </w:pPr>
      <w:r>
        <w:t>Erwägungen</w:t>
      </w:r>
    </w:p>
    <w:p>
      <w:r>
        <w:rPr>
          <w:b/>
        </w:rPr>
        <w:t>E. 1</w:t>
      </w:r>
    </w:p>
    <w:p>
      <w:r>
        <w:t>Le recours en matière pénale ( art. 78 al. 1 LTF ) est ouvert contre une décision relative à la détention provisoire au sens des art. 212 ss CPP ( ATF 137 IV 22 consid. 1 p. 23). Selon l'art. 81 al. 1 let. a et b ch. 1 LTF, le prévenu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condition qui n'est pas remise en cause en l'espèce.</w:t>
      </w:r>
    </w:p>
    <w:p>
      <w:r>
        <w:rPr>
          <w:b/>
        </w:rPr>
        <w:t>E. 3</w:t>
      </w:r>
    </w:p>
    <w:p>
      <w:r>
        <w:t>Le recourant conteste l'existence d'un risque de réitération. A l'instar du Tmc, il considère que les cas qui lui sont reprochés seraient de gravité minime, ou sporadiques.</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et les arrêts cités).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 ATF 123 I 268 consid. 2e p. 271).</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in SJ 2011 I p. 487).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L'arrêt attaqué fait état de trois condamnations antérieures entre les mois de décembre 2011 et septembre 2012 (20 mois avec sursis, un mois avec sursis et 90 jours pour vols, violations de domicile, dommages à la propriété, délit manqué d'extorsion, chantage, infractions à la loi sur les armes et à la LStup). Après une nouvelle tentative de vol dans des véhicules, et après avoir insulté et menacé des ambulanciers qui étaient venus lui porter secours, le recourant s'est vu rappeler par un procureur, le 25 juillet 2013, les risques de révocation de sursis. Il a néanmoins été à nouveau impliqué dans un vol et/ou un acte de recel, en septembre 2013 et avril 2014. L'enquête actuelle porte également sur un attentat à la pudeur commis alors que la victime était endormie. Le recourant tente de minimiser ses agissements, mais il apparaît qu'il a déjà pu se montrer violent et menaçant. Le recourant est en outre en proie à des problèmes de drogue et d'alcool, et il ne prétend pas avoir entrepris la moindre démarche pour remédier à ses addictions.</w:t>
      </w:r>
    </w:p>
    <w:p>
      <w:r>
        <w:t>Dans ces conditions, on peut admettre que l'activité délictueuse déployée par le recourant est de nature à compromettre sérieusement la sécurité au sens de l' art. 221 al. 1 let . c CPP. On peut aussi retenir un risque de récidive lorsqu'il s'agit, conformément au principe de célérité, d'éviter que la procédure ne soit sans cesse compliquée et prolongée par la commission de nouveaux délits ( PIQUEREZ/MACALUSO, Procédure pénale suisse, 3ème édition, n° 1198 p. 419; SCHMOCKER, Commentaire Romand CPP, n° 17 ad art. 221). Tel est le cas en l'espèce.</w:t>
      </w:r>
    </w:p>
    <w:p>
      <w:r>
        <w:t>Le recourant relève que sa situation aurait changé depuis que son amie est enceinte et qu'il se trouve en formation. Il s'agit toutefois des arguments qu'il avait déjà fait valoir à l'occasion de l'avertissement du 25 juillet 2013, et qui ne l'ont apparemment pas empêché de récidiver.</w:t>
      </w:r>
    </w:p>
    <w:p>
      <w:r>
        <w:t>Le grief doit dès lors être rejeté.</w:t>
      </w:r>
    </w:p>
    <w:p>
      <w:r>
        <w:rPr>
          <w:b/>
        </w:rPr>
        <w:t>E. 3.3</w:t>
      </w:r>
    </w:p>
    <w:p>
      <w:r>
        <w:t>Le recourant invoque aussi en vain le principe de la proportionnalité: compte tenu des charges actuelles (notamment l'acte d'ordre sexuel avec une personne incapable de résistance) et du risque concret de révocation des peines déjà prononcées avec sursis (soit au total environ 500 jours de privation de liberté), les quatre mois de détention provisoire n'apparaissent en rien excessif.</w:t>
      </w:r>
    </w:p>
    <w:p>
      <w:r>
        <w:rPr>
          <w:b/>
        </w:rPr>
        <w:t>E. 4</w:t>
      </w:r>
    </w:p>
    <w:p>
      <w:r>
        <w:t>Sur le vu de ce qui précède, le recours doit être rejeté. Le recourant a demandé l'assistance judiciaire et les conditions en paraissent réunies. Me Véronique Fontana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