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1B_200/2023 vom 20. April 2023</w:t>
      </w:r>
    </w:p>
    <w:p>
      <w:r>
        <w:t>Bundesgericht, 2023-04-20, DE</w:t>
      </w:r>
    </w:p>
    <w:p>
      <w:r>
        <w:rPr>
          <w:b/>
        </w:rPr>
        <w:t xml:space="preserve">Quelle: </w:t>
      </w:r>
      <w:r>
        <w:t>https://mcp.opencaselaw.ch/entscheid/bger_1B_200_2023</w:t>
      </w:r>
    </w:p>
    <w:p>
      <w:r>
        <w:t>FR: TF 1B_200/2023 du 20 avril 2023</w:t>
      </w:r>
    </w:p>
    <w:p>
      <w:r>
        <w:t>IT: TF 1B_200/2023 del 20 aprile 2023</w:t>
      </w:r>
    </w:p>
    <w:p>
      <w:pPr>
        <w:pStyle w:val="Heading2"/>
      </w:pPr>
      <w:r>
        <w:t>Erwägungen</w:t>
      </w:r>
    </w:p>
    <w:p>
      <w:r>
        <w:rPr>
          <w:b/>
        </w:rPr>
        <w:t>E. 1</w:t>
      </w:r>
    </w:p>
    <w:p>
      <w:r>
        <w:t>Die Staatsanwaltschaft des Kantons Graubünden führt eine Strafuntersuchung gegen A.________ wegen des Verdachts der Widerhandlung gegen das Betäubungsmittelgesetz. Am 8. Februar 2023 fand am Wohnort von A.________ eine Hausdurchsuchung statt. Anlässlich dieser wurden diverse Gegenstände, Utensilien, Hanf, Marihuana etc. sichergestellt. A.________ hat am 15. Februar 2023 gegen den Durchsuchungsbefehl Beschwerde an das Kantonsgericht Graubünden erhoben. Dieses ist am 2. März 2023 nicht auf die Beschwerde eingetreten, da A.________ keine konkreten Rechtsbegehren gestellt habe und kein aktuelles Rechtsschutzinteresse ersichtlich sei.</w:t>
      </w:r>
    </w:p>
    <w:p>
      <w:r>
        <w:t>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den Ausführungen des angefochtenen Entscheids nicht rechtsgenüglich auseinander. Er bringt vor Bundesgericht vor, er sei ein Heiliger und benötige Cannabis im Kampf gegen Dämonen, weshalb er "ein Rechtsbegehren auf Feststellung von Freiheitsrechten sowie der Wiederherstellung von Besitz habe". Damit legt er indes nicht im Einzelnen dar, inwiefern der angefochtene Nichteintretensentscheid rechts- bzw. verfassungswidrig sein soll. Dies ist auch nicht ersichtlich. Die Beschwerde genügt daher den gesetzlichen Formerfordernissen nicht, weshalb darauf nicht einzutreten ist ( Art. 42 Abs. 2 und Art. 106 Abs. 2 BGG ). Der Begründungsmangel ist offensichtlich, weshalb über die Beschwerde im vereinfachten Verfahren nach Art. 108 Abs. 1 lit. b BGG entschieden werden kann. Auf die Erhebung von 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