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1B_200/2020 vom 16. Juni 2020</w:t>
      </w:r>
    </w:p>
    <w:p>
      <w:r>
        <w:t>Bundesgericht, 2020-06-16, FR</w:t>
      </w:r>
    </w:p>
    <w:p>
      <w:r>
        <w:rPr>
          <w:b/>
        </w:rPr>
        <w:t xml:space="preserve">Quelle: </w:t>
      </w:r>
      <w:r>
        <w:t>https://mcp.opencaselaw.ch/entscheid/bger_1B_200_2020</w:t>
      </w:r>
    </w:p>
    <w:p>
      <w:r>
        <w:t>FR: TF 1B_200/2020 du 16 juin 2020</w:t>
      </w:r>
    </w:p>
    <w:p>
      <w:r>
        <w:t>IT: TF 1B_200/2020 del 16 giugno 2020</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w:t>
      </w:r>
    </w:p>
    <w:p>
      <w:r>
        <w:rPr>
          <w:b/>
        </w:rPr>
        <w:t>E. 1.1</w:t>
      </w:r>
    </w:p>
    <w:p>
      <w:r>
        <w:t>La motivation du recours, exigée par l' art. 42 al. 1 LTF , doit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4).42 LTF</w:t>
      </w:r>
    </w:p>
    <w:p>
      <w:r>
        <w:rPr>
          <w:b/>
        </w:rPr>
        <w:t>E. 1.2</w:t>
      </w:r>
    </w:p>
    <w:p>
      <w:r>
        <w:t>Le recourant consacre les douze premières pages de son recours à un rappel des faits, des décisions intervenues et des motifs invoqués par les parties et les instances précédentes. Cela ne constitue pas une motivation suffisante. Dans les pages qui suivent, le recourant se plaint de ce que la demande de prolongation soumise au Tmc ne mentionnait pas la nécessité d'entendre trois témoins et d'obtenir une analyse de la brigade financière, le résultat des ordres de dépôt ainsi qu'un rapport de la brigade de criminalité informatique. La cour cantonale n'a pas manqué de relever que les actes d'instruction n'étaient pas mentionnés dans la demande de prolongation de la détention, mais seulement dans la réponse au recours, ce qui n'était pas admissible. Il n'en demeure pas moins que les motifs de la demande de prolongation ressortaient à tout le moins du dossier soumis à la cour cantonale et ont été portés à connaissance du recourant. Celui-ci n'indique pas en quoi il y aurait violation du droit (notamment du droit d'être entendu) sur ce point.</w:t>
      </w:r>
    </w:p>
    <w:p>
      <w:r>
        <w:t>Ce n'est que dans les deux ultimes pages de son écriture que le recourant conteste l'existence d'un risque de collusion en relevant que les notaires et les médecins encore appelés à déposer ne seraient pas susceptibles d'être influencés. Les auditions en question n'auraient d'ailleurs rien apporté. Par ailleurs, les locaux du recourant ont déjà été perquisitionnés et son matériel informatique a été saisi. Le recourant conteste également lapidairement l'existence de risques de fuite et de réitération, mais ceux-ci n'ont pas été examinés dans l'arrêt attaqué. Enfin, le recourant se plaint d'une violation du principe de célérité, mais sans détailler aucunement ce grief, ce qui le rend également irrecevable. Le recourant conclut subsidiairement à une réduction du montant des frais de la procédure de recours, mais ne soulève aucune motivation à l'appui de cette conclusion. Il n'y a donc pas lieu d'entrer en matière sur ce point également.</w:t>
      </w:r>
    </w:p>
    <w:p>
      <w:r>
        <w:t>En définitive, seule l'existence d'un risque de collusion paraît faire l'objet d'une motivation suffisante, de sorte qu'il y a lieu d'entrer en matière sur ce point.</w:t>
      </w:r>
    </w:p>
    <w:p>
      <w:r>
        <w:rPr>
          <w:b/>
        </w:rPr>
        <w:t>E. 2</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w:t>
      </w:r>
    </w:p>
    <w:p>
      <w:r>
        <w:rPr>
          <w:b/>
        </w:rPr>
        <w:t>E. 2.1</w:t>
      </w:r>
    </w:p>
    <w:p>
      <w:r>
        <w:t>Pour retenir l'existence d'un risque de collusion au sens de l' art. 221 al. 1 let. b CPP ,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preuves susceptibles d'être menacés, la gravité des infractions en cause et le stade de la procédure ( ATF 137 IV 122 consid. 4.2 p. 127 s.; 132 I 21 consid. 3.2 p. 23 s. et les références citées). Plus l'instruction se trouve à un stade avancé et les faits sont établis avec précision, plus les exigences relatives à la preuve de l'existence d'un risque de collusion sont élevées ( ATF 137 IV 122 consid. 4.2 p. 128; 132 I 21 consid. 3.2.2 p. 24).</w:t>
      </w:r>
    </w:p>
    <w:p>
      <w:r>
        <w:rPr>
          <w:b/>
        </w:rPr>
        <w:t>E. 2.2</w:t>
      </w:r>
    </w:p>
    <w:p>
      <w:r>
        <w:t>Outre les infractions de dénonciation calomnieuse à l'égard du propriétaire de son logement et du Procureur général notamment, poursuivies d'office, le recourant se voit reprocher de très nombreuses falsifications de documents - y compris quant à sa propre identité -, dans le but d'obtenir toutes sortes de prestations indues. Le rapport d'expertise psychiatrique établi en 2010 relève une tendance à la manipulation et au mensonge pouvant aller jusqu'à la mythomanie. Cette tendance à la falsification s'étend d'ailleurs aux autorités de poursuite et aux instances judiciaires appelées à statuer à son sujet. En particulier, le recourant a produit des certificats médicaux destinés à tromper les autorités judiciaires qui lui adressaient des citations à comparaître, faisant état d'hospitalisations à l'étranger ou constituant des certificats médicaux de complaisance; le recourant a été jusqu'à produire un faux certificat de décès afin de se soustraire à une procédure devant le Tribunal de police, ainsi qu'un faux certificat devant le Tribunal des baux. Il a également dérobé un dossier pénal original qu'il était venu consulter auprès de la Cour de justice. Par ailleurs, l'arrêt attaqué fait état d'une tendance du recourant à multiplier les démarches destinées à compliquer, voire à bloquer l'instruction, en refusant notamment systématiquement la levée du secret médical des témoins et de l'expert.</w:t>
      </w:r>
    </w:p>
    <w:p>
      <w:r>
        <w:t>Même s'il ne l'a fait qu'au stade de la procédure de recours cantonale, le Ministère public a finalement détaillé les actes d'instruction qu'il entendait réaliser durant la prolongation requise de la détention. Il s'agit de l'audition d'un médecin (sous réserve de la levée de son secret médical) et de notaires, ainsi que de l'expert psychiatre (dès le dépôt de son rapport). Les rapports des Brigades financière et informatique étaient aussi attendus. Comme le relève la cour cantonale, on conçoit difficilement que le recourant influence directement les déclarations du médecin et des notaires. Toutefois, il est possible qu'il tente de brouiller leurs souvenirs d'une manière ou d'une autre, et surtout qu'il essaie à nouveau de ralentir ou de bloquer l'instruction en créant des faux documents dans le but de contredire les charges accumulées contre lui, ce qui nécessiterait sans cesse de nouvelles mesures d'instruction.</w:t>
      </w:r>
    </w:p>
    <w:p>
      <w:r>
        <w:t>Compte tenu des pratiques du recourant sortant de l'ordinaire, il y a lieu d'admettre dans ces circonstances particulières un risque de collusion concret et élevé à ce stade de la procédure.</w:t>
      </w:r>
    </w:p>
    <w:p>
      <w:r>
        <w:rPr>
          <w:b/>
        </w:rPr>
        <w:t>E. 3</w:t>
      </w:r>
    </w:p>
    <w:p>
      <w:r>
        <w:t>Le recourant évoque enfin le principe de la proportionnalité en relevant que les faits qui lui sont reprochés ne sont pas des actes de violence, qu'il se trouve en détention depuis onze mois et que l'enquête ne respecterait pas le principe de célérité, le Ministère public refusant de l'entendre plus d'une fois par mois et ayant annulé une audience sans raison. A supposer qu'il soit suffisamment motivé, le grief devrait être écarté.</w:t>
      </w:r>
    </w:p>
    <w:p>
      <w:r>
        <w:rPr>
          <w:b/>
        </w:rPr>
        <w:t>E. 3.1</w:t>
      </w:r>
    </w:p>
    <w:p>
      <w:r>
        <w:t>Le principe de proportionnalité impose d'examiner les possibilités de mettre en oeuvre d'autres solutions moins dommageables que la détention (règle de la nécessité; cf. art. 36 Cst. et 212 al. 2 let. c CPP). Cette exigence est concrétisée par l' art. 237 al. 1 CPP , qui prévoit que le tribunal compétent ordonne une ou plusieurs mesures moins sévères en lieu et place de la détention si ces mesures permettent d'atteindre le même but que la détention. Par ailleurs, en vertu des art. 31 al. 3 Cst. et 5 par. 3 CEDH, toute personne qui est mise en détention provisoire a le droit d'être jugée dans un délai raisonnable ou d'être libérée pendant la procédure pénale. L' art. 212 al. 3 CPP prévoit en particulier que la détention provisoire ne doit pas durer plus longtemps que la peine privative de liberté prévisible.</w:t>
      </w:r>
    </w:p>
    <w:p>
      <w:r>
        <w:rPr>
          <w:b/>
        </w:rPr>
        <w:t>E. 3.2</w:t>
      </w:r>
    </w:p>
    <w:p>
      <w:r>
        <w:t>Le recourant préconise des mesures de substitution, sans toutefois en indiquer la nature. Il apparaît que le risque de perturber ou de bloquer l'instruction, notamment par la création de faux documents, n'est pas susceptible d'être prévenu par l'une des mesures prévues à l' art. 237 al. 2 CPP . Compte tenu du nombre et de la gravité des infractions (y compris celle de dénonciation calomnieuse) commises sur plus d'une décennie, ainsi que des antécédents du recourant, la durée de la détention déjà subie ne se rapproche pas encore de celle d'une éventuelle peine privative de liberté qui pourrait être prononcée. L'instruction n'a pas connu de retard inadmissible, même si le recourant n'a pas été entendu aussi souvent qu'il le souhaiterait. La cour cantonale n'a d'ailleurs pas méconnu le principe de proportionnalité puisqu'elle a, à juste titre, limité la prolongation de la détention à trois mois et soumis une nouvelle demande de prolongation à des conditions précises.</w:t>
      </w:r>
    </w:p>
    <w:p>
      <w:r>
        <w:rPr>
          <w:b/>
        </w:rPr>
        <w:t>E. 4</w:t>
      </w:r>
    </w:p>
    <w:p>
      <w:r>
        <w:t>Sur le vu de ce qui précède, le recours est rejeté, dans la mesure où il est recevable. Le recourant a demandé l'octroi de l'assistance judiciaire. Les conditions y relatives étant réunies, cette requête doit être admise. Il y a donc lieu de désigner Me Cédric Kurth en tant qu'avocat d'office du recourant et de lui allouer une indemnité à titre d'honoraires, qui seront supportés par la caisse du Tribunal fédéral.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