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1/2019 vom 16. Januar 2019</w:t>
      </w:r>
    </w:p>
    <w:p>
      <w:r>
        <w:t>Bundesgericht, 2019-01-16, DE</w:t>
      </w:r>
    </w:p>
    <w:p>
      <w:r>
        <w:rPr>
          <w:b/>
        </w:rPr>
        <w:t xml:space="preserve">Quelle: </w:t>
      </w:r>
      <w:r>
        <w:t>https://mcp.opencaselaw.ch/entscheid/bger_1B_1_2019</w:t>
      </w:r>
    </w:p>
    <w:p>
      <w:r>
        <w:t>FR: TF 1B 1/2019 du 16 janvier 2019</w:t>
      </w:r>
    </w:p>
    <w:p>
      <w:r>
        <w:t>IT: TF 1B 1/2019 del 16 gennaio 2019</w:t>
      </w:r>
    </w:p>
    <w:p>
      <w:pPr>
        <w:pStyle w:val="Heading2"/>
      </w:pPr>
      <w:r>
        <w:t>Regeste</w:t>
      </w:r>
    </w:p>
    <w:p>
      <w:r>
        <w:t>Haftentlassung | Strafprozess</w:t>
      </w:r>
    </w:p>
    <w:p>
      <w:pPr>
        <w:pStyle w:val="Heading2"/>
      </w:pPr>
      <w:r>
        <w:t>Erwägungen</w:t>
      </w:r>
    </w:p>
    <w:p>
      <w:r>
        <w:rPr>
          <w:b/>
        </w:rPr>
        <w:t>E. 1</w:t>
      </w:r>
    </w:p>
    <w:p>
      <w:r>
        <w:t>A.________ wurde am 8. Mai 2018 vom Bezirksgericht Dietikon wegen versuchter vorsätzlicher Tötung ( Art. 111 StGB i.V.m. Art. 22 StGB ) zu einer Freiheitsstrafe von 6 Jahren verurteilt. Gegen dieses Urteil erklärten sowohl A.________ als auch die Staatsanwaltschaft IV des Kantons Zürich Berufung. Mit Präsidialverfügung vom 24. Dezember 2018 wies das Obergericht des Kantons Zürich das Gesuch von A.________ um Entlassung aus der Sicherheitshaft ab. Mit eigenhändiger Eingabe vom 27. Dezember 2018 beantragt A.________ sinngemäss, ihn aus der Haft zu entlassen, da er unschuldig sei. Die Staatsanwaltschaft IV und das Obergericht verzichten auf Vernehmlassung. Die amtliche Verteidigerin von A.________ beantragt, die Beschwerde gutzuheissen und ersucht um unentgeltliche Rechtspflege und Verbeiständung. Sie bestreitet den dringenden Tatverdacht gegen A.________ und verweist zur Begründung auf ihre Stellungnahme vom 21. Dezember 2018 zum Haftentlassungsgesuch ans Obergericht. Mit einer weiteren eigenhändigen Eingabe hält A.________ an der Beschwerde fest.</w:t>
      </w:r>
    </w:p>
    <w:p>
      <w:r>
        <w:rPr>
          <w:b/>
        </w:rPr>
        <w:t>E. 2</w:t>
      </w:r>
    </w:p>
    <w:p>
      <w:r>
        <w:t>Weder der Beschwerdeführer noch seine amtliche Verteidigerin setzen sich mit dem angefochtenen Entscheid in einer den gesetzlichen Anforderungen ( Art. 42 Abs. 1 und 2 BGG ; BGE 135 III 127 E. 1.6 S. 130; 134 II 244 E. 2.1; 133 II 396 E. 3.2; Urteil 1C_486/2014 vom 27. April 2016 E. 1.4) entsprechenden Weise auseinander. Nach einer erstinstanzlichen Verurteilung, die auf einer eingehenden Beweiswürdigung beruht (Urteil des Bezirksgerichts Dietikon vom 8. Mai 2018 E. 3 S. 5-21), lässt sich der dringende Tatverdacht mit einer blossen Unschuldsbeteuerung des Beschwerdeführers in der Beschwerdeschrift oder einem unzulässigen Verweis der Verteidigerin auf eine frühere Eingabe nicht mit Erfolg in Frage stellen. Auf die Beschwerde ist wegen Verletzung der gesetzlichen Begründungspflicht nicht einzutreten, und zwar, da der Mangel offensichtlich ist, im vereinfachten Verfahren. Das Gesuch um unentgeltliche Rechtspflege und Verbeiständung ist abzuweisen, da die Beschwerde aussichtslos war ( Art. 64 Abs. 1 und 2 BGG ). Hingegen kann ausnahmsweise darauf verzichtet werden, dem Beschwerdeführer 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