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1B_1/2015 vom 19. März 2015</w:t>
      </w:r>
    </w:p>
    <w:p>
      <w:r>
        <w:t>Bundesgericht, 2015-03-19, FR</w:t>
      </w:r>
    </w:p>
    <w:p>
      <w:r>
        <w:rPr>
          <w:b/>
        </w:rPr>
        <w:t xml:space="preserve">Quelle: </w:t>
      </w:r>
      <w:r>
        <w:t>https://mcp.opencaselaw.ch/entscheid/bger_1B_1_2015</w:t>
      </w:r>
    </w:p>
    <w:p>
      <w:r>
        <w:t>FR: TF 1B_1/2015 du 19 mars 2015</w:t>
      </w:r>
    </w:p>
    <w:p>
      <w:r>
        <w:t>IT: TF 1B_1/2015 del 19 marzo 2015</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 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 En tant que titulaire des comptes séquestrés et ayant participé à la procédure devant l'autorité cantonale, la recourante a qualité pour agir ( art. 81 al. 1 LTF ). Le recours a été déposé en temps utile ( art. 100 al. 1 LTF ).</w:t>
      </w:r>
    </w:p>
    <w:p>
      <w:r>
        <w:rPr>
          <w:b/>
        </w:rPr>
        <w:t>E. 2</w:t>
      </w:r>
    </w:p>
    <w:p>
      <w:r>
        <w:t>Dans un grief d'ordre formel qu'il convient d'examiner en premier lieu, la recourante se plaint de l'appréciation arbitraire des faits dans le cadre de l'établissement des frais incompressibles.</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140 III 264 consid. 2.3 p. 266). La correction du vice doit en outre être susceptible d'influer sur le sort de la cause ( art. 97 al. 1 LTF ).</w:t>
      </w:r>
    </w:p>
    <w:p>
      <w:r>
        <w:t>Vu le raisonnement qui suit (</w:t>
      </w:r>
    </w:p>
    <w:p>
      <w:r>
        <w:t>infra consid. 4), la situation financière de la recourante n'a pas à être examinée de manière détaillée, puisque même si l'existence de valeurs insaisissables au sens des art. 92 à 94 LP devait être constatée, elle ne saurait conduire à une levée des séquestres confiscatoires litigieux.</w:t>
      </w:r>
    </w:p>
    <w:p>
      <w:r>
        <w:t>Partant, le grief d'arbitraire dans l'établissement des faits n'a pas à être tranché.</w:t>
      </w:r>
    </w:p>
    <w:p>
      <w:r>
        <w:rPr>
          <w:b/>
        </w:rPr>
        <w:t>E. 3</w:t>
      </w:r>
    </w:p>
    <w:p>
      <w:r>
        <w:t>Sur le fond, la recourante ne remet pas en cause l'existence de soupçons suffisants laissant présumer des infractions. Elle soutient uniquement que les séquestres violent le principe de la proportionnalité. Elle se plaint à cet égard d'une violation des art. 267 al. 1 et 263 CPP et 71 al. 3 CP.</w:t>
      </w:r>
    </w:p>
    <w:p>
      <w:r>
        <w:rPr>
          <w:b/>
        </w:rPr>
        <w:t>E. 3.1</w:t>
      </w:r>
    </w:p>
    <w:p>
      <w:r>
        <w:t>Le séquestre pénal contesté est fondé sur l' art. 263 CPP . Cette mesure conservatoire provisoire est destinée à préserver les objets ou valeurs que le juge du fond pourrait être amené à confisquer ou qui pourraient servir à l'exécution d'une créance compensatrice. Elle est fondée sur la vraisemblance et se justifie aussi longtemps qu'une simple possibilité de confiscation en application du Code pénal semble,</w:t>
      </w:r>
    </w:p>
    <w:p>
      <w:r>
        <w:t>prima facie , subsister.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 ATF 140 IV 57 consid. 4.1.1 p. 61 s. et les arrêts cités).</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Une mesure de séquestre est en principe proportionnée du simple fait qu'elle porte sur des valeurs dont on peut vraisemblablement admettre qu'elles pourront être confisquées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1B_175/2012 du 5 septembre 2012 consid. 4.1; arrêt 1P.405/1993 du 8 novembre 1993 consid. 3 publié in SJ 1994 p. 97). Enfin, pour que le maintien du séquestre pendant une période prolongée se justifie, il importe que les présomptions se renforcent en cours d'enquête ( ATF 122 IV 91 consid. 4 p. 96).</w:t>
      </w:r>
    </w:p>
    <w:p>
      <w:r>
        <w:rPr>
          <w:b/>
        </w:rPr>
        <w:t>E. 3.2</w:t>
      </w:r>
    </w:p>
    <w:p>
      <w:r>
        <w:t>La recourante fait d'abord valoir que la durée de la procédure viole le principe de la proportionnalité. Elle rappelle que le séquestre frappe ses biens depuis 7 ans et soutient que depuis 2009 l'instruction ne connaît pas d'évolution concrète, si ce n'est des déclarations contestées de B.________ lors d'une audience le 7 février 2014.</w:t>
      </w:r>
    </w:p>
    <w:p>
      <w:r>
        <w:t>Il est vrai que la procédure est ouverte depuis sept ans. L'instruction semble cependant avoir été régulièrement menée et la recourante ne donne pas de détails sur les éventuelles périodes d'inactivité du procureur; elle se contente de souligner que l'audience du 7 février 2014 faisait suite à celle du 5 juillet 2011. Cet élément ne peut à lui seul établir une violation du principe de la proportionnalité conduisant à la levée des séquestres, ce d'autant moins que la prévenue n'explique pas pourquoi elle a attendu 6 ans pour se plaindre des séquestres litigieux. La juridiction précédente pouvait donc considérer que le principe de proportionnalité n'avait pas été violé en raison de la durée des séquestres. Cela est d'autant plus vrai que la recourante ne soutient pas que les soupçons pesant sur elle ont diminué au fil de l'enquête.</w:t>
      </w:r>
    </w:p>
    <w:p>
      <w:r>
        <w:t>Afin d'échapper à toute critique, il incombe toutefois au Ministère public de ne pas tarder à rendre son acte d'accusation, conformément à ce qu'il a annoncé dans ses déterminations devant le Tribunal de céans.</w:t>
      </w:r>
    </w:p>
    <w:p>
      <w:r>
        <w:rPr>
          <w:b/>
        </w:rPr>
        <w:t>E. 3.3</w:t>
      </w:r>
    </w:p>
    <w:p>
      <w:r>
        <w:t>La recourante conteste ensuite la nécessité de la mesure de séquestre, au motif que les actifs bloqués par la justice française offrent des garanties suffisantes pour les parties plaignantes. Elle précise que ces biens ont une valeur cumulée dépassant celle des prétentions des parties plaignantes.</w:t>
      </w:r>
    </w:p>
    <w:p>
      <w:r>
        <w:t>La Cour de justice a exposé que les biens immobiliers sis hors du territoire helvétique échappaient à l'emprise de la justice pénale suisse et que les mesures de blocage ordonnées en France, dans le cadre de causes soumises au droit français, étaient dénuées de pertinence au regard de la présente procédure; par ailleurs même si, comme le prétend l'intéressée, elle avait, en devenant seule associée de J.________ 1 et en désignant ses enfants comme associés de J.________ 2, veillé à protéger les parts sociales de ces sociétés d'éventuels actes de disposition de son ex-mari, elle ne fournissait pour autant aucun élément concret nouveau devant conduire à retenir que les parties plaignantes avaient été ou seraient réellement indemnisées à concurrence des montants des saisies opérées en leur faveur, de sorte qu'il y avait encore lieu de protéger leurs expectatives.</w:t>
      </w:r>
    </w:p>
    <w:p>
      <w:r>
        <w:t>La recourante ne discute pas les motifs avancés par l'instance précédente. Elle se contente d'alléguer que les décisions françaises se réfèrent de façon expresse à la procédure suisse. Cette simple référence ne suffit cependant pas à lever les séquestres litigieux. En effet, la recourante perd de vue que les séquestres opérés sur ses biens ne visent pas seulement l'indemnisation des lésés, mais avant tout la confiscation des avoirs illicitement acquis, voire la garantie d'une créance compensatrice de l'Etat lorsque tout ou partie des liquidités concernées a été aliéné; la prévenue n'est pas légitimée à tirer avantage des infractions qui lui sont imputées.</w:t>
      </w:r>
    </w:p>
    <w:p>
      <w:r>
        <w:rPr>
          <w:b/>
        </w:rPr>
        <w:t>E. 3.4</w:t>
      </w:r>
    </w:p>
    <w:p>
      <w:r>
        <w:t>La recourante dénonce encore l'aptitude de la mesure, en ce sens que l'instance précédente a écarté la pertinence de la transaction intervenue entre les parties plaignantes et le Groupe K.________, repreneur de D.________, en liquidation judiciaire. Cet accord prévoit le transfert des prétentions des parties plaignantes contre D.________ AG au profit du Groupe K.________ pour le prix de 2,5 millions d'euros. La recourante allègue qu'il est disproportionné de maintenir les séquestres litigieux alors que des actifs ont été libérés par la direction de la procédure dans le cadre d'une transaction secrète concernant son prix, sans expertise préalable, et qui s'avère être au minimum quatre fois inférieur à la valeur des marques.</w:t>
      </w:r>
    </w:p>
    <w:p>
      <w:r>
        <w:t>La Cour de justice a exposé que cet accord n'éteignait pas l'entier du préjudice des parties plaignantes, étant rappelé qu'il est reproché à B.________ d'avoir détourné l'argent de ces</w:t>
      </w:r>
    </w:p>
    <w:p>
      <w:r>
        <w:t>hedge funds pour les avancer à D.________, qui a reçu environ 11,5 millions.</w:t>
      </w:r>
    </w:p>
    <w:p>
      <w:r>
        <w:t>Ce raisonnement ne prête pas le flanc à la critique. En effet, la mesure de séquestre est proportionnée par rapport au montant séquestré: la recourante ne conteste pas que le détournement de fonds présumé s'élève à plusieurs dizaines de millions de francs, alors que les avoirs saisis sur sol suisse représentent un peu plus de 1 million de francs, auxquels s'ajoutent les bijoux dont la valeur n'a pas encore été déterminée.</w:t>
      </w:r>
    </w:p>
    <w:p>
      <w:r>
        <w:rPr>
          <w:b/>
        </w:rPr>
        <w:t>E. 4</w:t>
      </w:r>
    </w:p>
    <w:p>
      <w:r>
        <w:t>La recourante soutient enfin que son droit à des conditions minimales d'existence doit être pris en compte non seulement en cas de séquestre en couverture de frais ( art. 268 CPP ) mais aussi "dans le cadre des art. 263 CPP et 71 al. 3 CP".</w:t>
      </w:r>
    </w:p>
    <w:p>
      <w:r>
        <w:t>Selon la systématique du CPP, seul le séquestre en couverture des frais impose de prendre en compte le revenu et la fortune du prévenu ( art. 268 al. 2 CPP ) et d'exclure du séquestre les valeurs insaisissables selon les art. 92 à 94 LP ( art. 268 al. 3 CPP ). Dès lors que le séquestre litigieux tel qu'il est défini dans l'arrêt attaqué n'a pas pour but d'assurer la couverture des frais, ces dispositions ne s'appliquent pas en l'espèce (arrêt 1B_177/2012 du 28 août 2012 consid. 2.2).</w:t>
      </w:r>
    </w:p>
    <w:p>
      <w:r>
        <w:t>La recourante n'explique pas pourquoi les règles précitées devraient s'appliquer également au séquestre confiscatoire, malgré le texte clair de l' art. 268 CPP . Elle ne soutient pas que les montants saisis ne constituent pas le produit présumé de l'infraction (</w:t>
      </w:r>
    </w:p>
    <w:p>
      <w:r>
        <w:t>producta sceleris ). Elle affirme uniquement que le droit aux conditions minimales d'existence doit être pris en compte dans le cadre des art. 263 CPP et 71 al. 3 CP, en se référant à un avis de doctrine qui traite non pas du séquestre confiscatoire mais uniquement du séquestre en vue de l'exécution d'une créance compensatrice (Lembo/Julen Berthod, Commentaire romand du CPP, ad art. 263 n° 28; dans ce sens, voir aussi Niklaus Oberholzer, Grundzüge des Strafprozessrechts, 2012, n° 1150; Stefan Heimgartner, in Kommentar zur Schweizerischen Strafprozessordnung (StPO), Donatsch/Hansjakob/Lieber (éd.), ad art. 268 n° 15). Dans la mesure où le séquestre vise en l'état autant une confiscation que l'exécution d'une créance compensatrice, l'application éventuelle par analogie de l' art. 268 al. 3 CPP à ce seul dernier cas de figure n'empêche pas la mesure de déployer ses effets. En outre, l'intéressée n'étaye aucunement ce point de vue conformément aux exigences de motivation déduites de l' art. 42 al. 2 LTF (cf. ATF 136 I 49 consid. 1.4.1 p. 53 et la jurisprudence citée). C'est le lieu de rappeler que si le Tribunal fédéral applique le droit fédéral d'office ( art. 106 al. 1 LTF ), cela ne dispense pas le recourant de faire valoir des griefs motivés conformément aux exigences précitées ( ATF 133 II 249 consid. 1.4.1 p. 254). Ce grief doit donc être rejeté dans la mesure où il est recevable.</w:t>
      </w:r>
    </w:p>
    <w:p>
      <w:r>
        <w:rPr>
          <w:b/>
        </w:rPr>
        <w:t>E. 5</w:t>
      </w:r>
    </w:p>
    <w:p>
      <w:r>
        <w:t>Il s'ensuit que le recours doit être rejeté, dans la mesure de sa recevabilité.</w:t>
      </w:r>
    </w:p>
    <w:p>
      <w:r>
        <w:t>La recourante, qui succombe, doit supporter les frais de la présente procédure ( art. 66 al. 1 LTF ). Largement appellatoire, le recours paraissait d'emblée voué à l'échec. En conséquence, l'assistance judiciaire doit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