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1B_1/2010 vom 5. Februar 2010</w:t>
      </w:r>
    </w:p>
    <w:p>
      <w:r>
        <w:t>Bundesgericht, 2010-02-05, DE</w:t>
      </w:r>
    </w:p>
    <w:p>
      <w:r>
        <w:rPr>
          <w:b/>
        </w:rPr>
        <w:t xml:space="preserve">Quelle: </w:t>
      </w:r>
      <w:r>
        <w:t>https://mcp.opencaselaw.ch/entscheid/bger_1B_1_2010</w:t>
      </w:r>
    </w:p>
    <w:p>
      <w:r>
        <w:t>FR: TF 1B_1/2010 du 5 février 2010</w:t>
      </w:r>
    </w:p>
    <w:p>
      <w:r>
        <w:t>IT: TF 1B_1/2010 del 5 febbraio 2010</w:t>
      </w:r>
    </w:p>
    <w:p>
      <w:pPr>
        <w:pStyle w:val="Heading2"/>
      </w:pPr>
      <w:r>
        <w:t>Erwägungen</w:t>
      </w:r>
    </w:p>
    <w:p>
      <w:r>
        <w:rPr>
          <w:b/>
        </w:rPr>
        <w:t>E. 1</w:t>
      </w:r>
    </w:p>
    <w:p>
      <w:r>
        <w:t>Nach Art. 100 Abs. 1 BGG ist die Beschwerde innert 30 Tagen nach der Eröffnung der vollständigen Ausfertigung des angefochtenen Entscheids beim Bundesgericht einzureichen. Diese gesetzliche Frist ist nicht erstreckbar ( Art. 47 Abs. 1 BGG ).</w:t>
      </w:r>
    </w:p>
    <w:p>
      <w:r>
        <w:rPr>
          <w:b/>
        </w:rPr>
        <w:t>E. 1.1</w:t>
      </w:r>
    </w:p>
    <w:p>
      <w:r>
        <w:t>Der angefochtene Entscheid der Anklagekammer vom 6. November 2009 ist dem Beschwerdeführer am 20. November 2009 zugestellt worden. Also begann die Frist zur Anfechtung des Entscheids am 21. November 2009 zu laufen ( Art. 44 Abs. 1 BGG ) und am Montag, 21. Dezember 2009 endete sie ( Art. 45 Abs. 1 BGG ). Die vorliegende Beschwerde hat der Beschwerdeführer am 30. Dezember 2009 der Post übergeben. Er beruft sich auf den Fristenstillstand gemäss Art. 46 Abs. 1 lit. c BGG .</w:t>
      </w:r>
    </w:p>
    <w:p>
      <w:r>
        <w:rPr>
          <w:b/>
        </w:rPr>
        <w:t>E. 1.2</w:t>
      </w:r>
    </w:p>
    <w:p>
      <w:r>
        <w:t>In Fällen der strafprozessualen Haft gilt der Fristenstillstand gemäss Art. 46 Abs. 1 BGG nicht ( BGE 133 I 270 E. 1.2 S. 273 ff.). Die vorliegend umstrittene freiheitsbeschränkende Hinterlegung von Ausweisschriften ist als mildere Ersatzmassnahme anstelle der Aufrechterhaltung der Untersuchungshaft verfügt worden. Das kantonale Strafprozessgesetz sieht solche freiheitsbeschränkenden Ersatzmassnahmen anstelle der strafprozessualen Haft ausdrücklich vor (vgl. Art. 138 StP). Es ist evident, dass für die Ersatzmassnahme die gleiche Fristenregelung gilt wie für die Hauptmassnahme. Folglich kommt der Fristenstillstand von Art. 46 Abs. 1 BGG nicht zur Anwendung. Die erst am 30. Dezember 2009 der Post übergebene Beschwerde ist daher klarerweise verspätet eingereicht worden, sodass auf sie nicht einzutreten ist.</w:t>
      </w:r>
    </w:p>
    <w:p>
      <w:r>
        <w:rPr>
          <w:b/>
        </w:rPr>
        <w:t>E. 2</w:t>
      </w:r>
    </w:p>
    <w:p>
      <w:r>
        <w:t>Entsprechend dem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