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1B_19/2021 vom 19. Januar 2021</w:t>
      </w:r>
    </w:p>
    <w:p>
      <w:r>
        <w:t>Bundesgericht, 2021-01-19, DE</w:t>
      </w:r>
    </w:p>
    <w:p>
      <w:r>
        <w:rPr>
          <w:b/>
        </w:rPr>
        <w:t xml:space="preserve">Quelle: </w:t>
      </w:r>
      <w:r>
        <w:t>https://mcp.opencaselaw.ch/entscheid/bger_1B_19_2021</w:t>
      </w:r>
    </w:p>
    <w:p>
      <w:r>
        <w:t>FR: TF 1B_19/2021 du 19 janvier 2021</w:t>
      </w:r>
    </w:p>
    <w:p>
      <w:r>
        <w:t>IT: TF 1B_19/2021 del 19 gennaio 2021</w:t>
      </w:r>
    </w:p>
    <w:p>
      <w:pPr>
        <w:pStyle w:val="Heading2"/>
      </w:pPr>
      <w:r>
        <w:t>Erwägungen</w:t>
      </w:r>
    </w:p>
    <w:p>
      <w:r>
        <w:rPr>
          <w:b/>
        </w:rPr>
        <w:t>E. 1</w:t>
      </w:r>
    </w:p>
    <w:p>
      <w:r>
        <w:t>A.________ erhob am 7. Oktober 2020 Beschwerde gegen fünf Nichtanhandnahmeverfügungen der Staatsanwaltschaft des Kantons Glarus und reichte zugleich Ausstandsbegehren gegen zwei Staatsanwältinnen ein. Bezüglich dieser Verfahren beim Obergericht des Kantons Glarus beantragte er den Ausstand von Obergerichtsschreiber Erich Hug.</w:t>
      </w:r>
    </w:p>
    <w:p>
      <w:r>
        <w:t>Das Obergericht des Kantons Glarus schrieb mit Verfügung vom 13. Januar 2021 das Ausstandsgesuch gegen Obergerichtsschreiber Hug als gegenstandslos geworden ab, da dieser an den erwähnten Verfahren nicht mitwirke.</w:t>
      </w:r>
    </w:p>
    <w:p>
      <w:r>
        <w:rPr>
          <w:b/>
        </w:rPr>
        <w:t>E. 2</w:t>
      </w:r>
    </w:p>
    <w:p>
      <w:r>
        <w:t>A.________ führt mit Eingabe vom 15. Januar 2021 Beschwerde in Strafsachen gegen die Verfügung des Obergerichts des Kantons Glarus.</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vermag mit seinen nicht sachbezogenen Ausführungen nicht verständlich aufzuzeigen, dass das Obergericht Recht im Sinne von Art. 42 Abs. 2 BGG verletzt hätte, als es das Ausstandsgesuch als gegenstandslos geworden abschrieb. Aus der Beschwerde ergibt sich nicht, inwiefern die Begründung des Obergerichts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