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1B_19/2018 vom 15. Februar 2018</w:t>
      </w:r>
    </w:p>
    <w:p>
      <w:r>
        <w:t>Bundesgericht, 2018-02-15, DE</w:t>
      </w:r>
    </w:p>
    <w:p>
      <w:r>
        <w:rPr>
          <w:b/>
        </w:rPr>
        <w:t xml:space="preserve">Quelle: </w:t>
      </w:r>
      <w:r>
        <w:t>https://mcp.opencaselaw.ch/entscheid/bger_1B_19_2018</w:t>
      </w:r>
    </w:p>
    <w:p>
      <w:r>
        <w:t>FR: TF 1B_19/2018 du 15 février 2018</w:t>
      </w:r>
    </w:p>
    <w:p>
      <w:r>
        <w:t>IT: TF 1B_19/2018 del 15 febbraio 2018</w:t>
      </w:r>
    </w:p>
    <w:p>
      <w:pPr>
        <w:pStyle w:val="Heading2"/>
      </w:pPr>
      <w:r>
        <w:t>Erwägungen</w:t>
      </w:r>
    </w:p>
    <w:p>
      <w:r>
        <w:rPr>
          <w:b/>
        </w:rPr>
        <w:t>E. 1</w:t>
      </w:r>
    </w:p>
    <w:p>
      <w:r>
        <w:t>Gegen kantonal letztinstanzliche Entscheide über strafprozessuale Haft oder sonstige Zwangsmassnahmen in Anwendung von Art. 212 ff. StPO steht die Beschwerde in Strafsachen an das Bundesgericht gemäss Art. 78 ff. BGG offen. Der Beschwerdeführer war am vorinstanzlichen Verfahren beteiligt und hat als Beschuldigter sowie von den strittigen Ersatzmassnahmen direkt Betroffener ein rechtlich geschütztes Interesse an der Aufhebung oder Änderung des angefochtenen Nichteintretensentscheids; er ist mithin zur Beschwerde an das Bundesgericht legitimiert (vgl. Art. 81 Abs. 1 BGG ). Die weiteren Eintretensvoraussetzungen geben zu keinen Bemerkungen Anlass.</w:t>
      </w:r>
    </w:p>
    <w:p>
      <w:r>
        <w:rPr>
          <w:b/>
        </w:rPr>
        <w:t>E. 2.1</w:t>
      </w:r>
    </w:p>
    <w:p>
      <w:r>
        <w:t>Eine formelle Rechtsverweigerung nach Art. 29 BV liegt vor, wenn eine Behörde auf eine ihr frist- und formgerecht unterbreitete Sache nicht eintritt bzw. diese nicht behandelt, obschon sie darüber befinden müsste ( BGE 135 I 6 E. 2.1 S. 9 ; 134 I 229 E. 2.3 S. 232; vgl. auch BGE 136 II 177 E. 2.1).</w:t>
      </w:r>
    </w:p>
    <w:p>
      <w:r>
        <w:rPr>
          <w:b/>
        </w:rPr>
        <w:t>E. 2.2</w:t>
      </w:r>
    </w:p>
    <w:p>
      <w:r>
        <w:t>Nach Art. 382 Abs. 1 StPO kann jede Partei, die ein rechtlich geschütztes Interesse an der Aufhebung oder Änderung eines Entscheides hat, ein strafprozessuales Rechtsmittel ergreifen. Der Beschwerdeführer muss selbst in seinen rechtlichen Interessen beschwert sein (vgl. NIKLAUS SCHMID/DANIEL JOSITSCH, Schweizerische Strafprozessordnung, Praxiskommentar, 3. Aufl., 2018, N. 1 und 2 zu Art. 382). Gemäss Art. 396 Abs. 1 StPO ist eine strafprozessuale Beschwerde fristgerecht schriftlich und begründet einzureichen.</w:t>
      </w:r>
    </w:p>
    <w:p>
      <w:r>
        <w:rPr>
          <w:b/>
        </w:rPr>
        <w:t>E. 2.3</w:t>
      </w:r>
    </w:p>
    <w:p>
      <w:r>
        <w:t>Der Beschwerdeführer hatte bereits vor der Vorinstanz vorgebracht, vom Entscheid des Zwangsmassnahmengerichts wegen der ihm damit auferlegten Zwangsmassnahmen direkt betroffen zu sein. Damit hatte er die entsprechende Legitimationsvoraussetzung ausreichend begründet, weshalb sich das Obergericht damit bereits unabhängig davon zu befassen hatte, ob es auch verpflichtet war, diese Frage als Eintretensvoraussetzung von Amtes wegen zu prüfen.</w:t>
      </w:r>
    </w:p>
    <w:p>
      <w:r>
        <w:rPr>
          <w:b/>
        </w:rPr>
        <w:t>E. 3.1</w:t>
      </w:r>
    </w:p>
    <w:p>
      <w:r>
        <w:t>Das Obergericht begründete seinen Entscheid damit, der Beschwerdeführer habe in der staatsanwaltschaftlichen Hafteinvernahme vom 26. Oktober 2017 erklärt, er habe kein Interesse daran, mit den Personen Kontakt aufzunehmen, auf die sich das Kontaktverbot richte, und er werde sich an die Ersatzmassnahmen halten; er sei daher durch die angeordneten Ersatzmassnahmen nicht beschwert.</w:t>
      </w:r>
    </w:p>
    <w:p>
      <w:r>
        <w:rPr>
          <w:b/>
        </w:rPr>
        <w:t>E. 3.2</w:t>
      </w:r>
    </w:p>
    <w:p>
      <w:r>
        <w:t>Indessen gilt es zu differenzieren: Ersatzmassnahmen nach Art. 237 StPO treten an die Stelle von Untersuchungs- oder Sicherheitshaft. Voraussetzung ihrer Anordnung ist, dass die Grundvoraussetzungen von Haft gemäss Art. 221 StPO erfüllt sind, insbesondere dass ein dringender Tatverdacht und ein Haftgrund vorliegen ( BGE 137 IV 122 E. 2 S. 125). Ob Haft oder Ersatzmassnahmen verfügt werden, ist in erster Linie eine Frage der Verhältnismässigkeit (vgl. Art. 5 Abs. 2 und Art. 36 Abs. 3 BV sowie Art. 197 StPO ). Nur schon mit Blick darauf, dass sonst zumindest vorübergehend ein Freiheitsentzug droht, kann ein Beschuldigter sich bereit erklären, sich an Ersatzmassnahmen zu halten, ohne dass er damit zugesteht, die Haftvoraussetzungen seien erfüllt. Selbst wenn wie hier ein Beschuldigter aussagt, sich an ein Kontaktverbot zu halten, bzw. einräumt, kein Interesse am Kontakt zu bestimmten Personen zu haben, bewirkt das nicht den Wegfall des rechtlich geschützten Interesses an einem allfälligen Rechtsmittel gegen die Anordnung des Kontaktverbots an sich. Erstens kann es sich dabei lediglich um eine Momentaufnahme handeln und zweitens bedeutet es nicht, dass der Beschuldigte auch das Vorliegen eines dringenden Tatverdachts sowie eines Haftgrundes zugesteht.</w:t>
      </w:r>
    </w:p>
    <w:p>
      <w:r>
        <w:rPr>
          <w:b/>
        </w:rPr>
        <w:t>E. 3.3</w:t>
      </w:r>
    </w:p>
    <w:p>
      <w:r>
        <w:t>Mit seinen in der Drucksituation einer staatsanwaltschaftlichen Einvernahme und unter der Androhung einer Inhaftierung entstandenen Äusserungen erklärte sich denn auch der Beschwerdeführer nicht mit den ihm auferlegten Zwangsmassnahmen verbindlich und vorbehaltlos einverstanden. Gemäss Ziff. 11 des Protokolls der staatsanwaltschaftlichen Hafteinvernahme vom 26. Oktober 2017 wurde er ausdrücklich gefragt, ob er verstanden habe, dass - nach Auffassung der Staatsanwaltschaft - der dringende Tatverdacht und besondere Haftgründe gegeben seien; protokolliert ist dazu die Antwort, dass er damit nicht einverstanden war (wörtlich: "Ja, ich habe das verstanden, bin aber anderer Meinung."). Seine unter Ziff. 12 und 13 protokollierten weiteren Aussagen, "Ich akzeptiere alles, aber will nicht in eine Untersuchungshaft" und er werde sich an die Ersatzmassnahmen halten, können mithin nur so verstanden werden, dass er sich mit Blick auf und in Kenntnis der damit verbundenen möglichen Folgen bereit erklärte, das ihm angekündigte Kontaktverbot zu beachten, soweit und solange die entsprechende Anordnung rechtsverbindliche Wirkung entfalten sollte. Damit räumte er weder rechtsgültig die Rechtmässigkeit des Kontaktverbots ein noch verzichtete er auf die Erhebung eines Rechtsmittels.</w:t>
      </w:r>
    </w:p>
    <w:p>
      <w:r>
        <w:rPr>
          <w:b/>
        </w:rPr>
        <w:t>E. 3.4</w:t>
      </w:r>
    </w:p>
    <w:p>
      <w:r>
        <w:t>Unter diesen Umständen kann offenbleiben, unter welchen Voraussetzungen überhaupt rechtsgültig auf allfällige Rechtsmittel gegen strafprozessuale Zwangsmassnahmen verzichtet werden könnte, was angesichts des damit verbundenen Grundrechtseingriffs zumindest nicht offensichtlich erscheint.</w:t>
      </w:r>
    </w:p>
    <w:p>
      <w:r>
        <w:rPr>
          <w:b/>
        </w:rPr>
        <w:t>E. 3.5</w:t>
      </w:r>
    </w:p>
    <w:p>
      <w:r>
        <w:t>Andere Sachurteilsvoraussetzungen als das fehlende rechtlich geschützte Interesse an der Beschwerde führt das Obergericht im angefochtenen Entscheid nicht an. Indem es dem Beschwerdeführer die Beschwerdelegitimation absprach, beging es somit eine formelle Rechtsverweigerung.</w:t>
      </w:r>
    </w:p>
    <w:p>
      <w:r>
        <w:rPr>
          <w:b/>
        </w:rPr>
        <w:t>E. 4</w:t>
      </w:r>
    </w:p>
    <w:p>
      <w:r>
        <w:t>Die Beschwerde erweist sich als begründet und der angefochtene Beschluss ist aufzuheben. Die Streitsache geht zurück an die Vorinstanz zu neuem Entscheid im Sinne der Erwägungen, insbesondere zur inhaltlichen Prüfung der angeordneten Zwangsmassnahmen.</w:t>
      </w:r>
    </w:p>
    <w:p>
      <w:r>
        <w:t>Bei diesem Verfahrensausgang sind keine Kosten zu erheben (vgl. Art. 66 BGG ). Der Kanton Zürich hat 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