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1B_197/2020 vom 24. April 2020</w:t>
      </w:r>
    </w:p>
    <w:p>
      <w:r>
        <w:t>Bundesgericht, 2020-04-24, DE</w:t>
      </w:r>
    </w:p>
    <w:p>
      <w:r>
        <w:rPr>
          <w:b/>
        </w:rPr>
        <w:t xml:space="preserve">Quelle: </w:t>
      </w:r>
      <w:r>
        <w:t>https://mcp.opencaselaw.ch/entscheid/bger_1B_197_2020</w:t>
      </w:r>
    </w:p>
    <w:p>
      <w:r>
        <w:t>FR: TF 1B_197/2020 du 24 avril 2020</w:t>
      </w:r>
    </w:p>
    <w:p>
      <w:r>
        <w:t>IT: TF 1B_197/2020 del 24 aprile 2020</w:t>
      </w:r>
    </w:p>
    <w:p>
      <w:pPr>
        <w:pStyle w:val="Heading2"/>
      </w:pPr>
      <w:r>
        <w:t>Erwägungen</w:t>
      </w:r>
    </w:p>
    <w:p>
      <w:r>
        <w:rPr>
          <w:b/>
        </w:rPr>
        <w:t>E. 1</w:t>
      </w:r>
    </w:p>
    <w:p>
      <w:r>
        <w:t>Die Staatsanwaltschaft des Kantons Schaffhausen führt eine Strafuntersuchung gegen A.________ wegen Verdachts des Betrugs, der einfachen Körperverletzung, des mehrfachen Hausfriedensbruchs, der Drohung, der Nötigung sowie der Gewalt und Drohung gegen Behörden und Beamte. Mit Schreiben vom 12. März 2020 verlangte der sich in Untersuchungshaft befindliche Beschuldigte u.a. die "Absetzung" von a.o. Staatsanwalt B.________.</w:t>
      </w:r>
    </w:p>
    <w:p>
      <w:r>
        <w:t>Das Obergericht des Kantons Schaffhausen stellte dem amtlichen Verteidiger des Beschuldigten das Ausstandsgesuch vom 12. März 2020 sowie die Stellungnahme des a.o. Staatsanwalts zu und setzte ihm Frist bis 23. April 2020 zur Einreichung allfälliger Bemerkungen. Mit Schreiben vom 15. April 2020 wandte sich A.________ persönlich an das Obergericht und ersuchte dabei um Erstreckung der seinem amtlichen Verteidiger bis 23. April 2020 gesetzten Frist. Das Obergericht des Kantons Schaffhausen wies mit Verfügung vom 17. April 2020 das Fristerstreckungsgesuch vom 15. April 2020 ab.</w:t>
      </w:r>
    </w:p>
    <w:p>
      <w:r>
        <w:rPr>
          <w:b/>
        </w:rPr>
        <w:t>E. 2</w:t>
      </w:r>
    </w:p>
    <w:p>
      <w:r>
        <w:t>A.________ führt mit Eingabe vom 22. April 2020 Beschwerde in Strafsachen gegen die Verfügung des Obergerichts des Kantons Schaffhausen. Das Bundesgericht verzichtet auf die Einholung von Vernehmlassungen.</w:t>
      </w:r>
    </w:p>
    <w:p>
      <w:r>
        <w:rPr>
          <w:b/>
        </w:rPr>
        <w:t>E. 3</w:t>
      </w:r>
    </w:p>
    <w:p>
      <w:r>
        <w:t>Streitgegenstand ist vorliegend die Ablehnung des Fristerstreckungsgesuchs. Soweit der Beschwerdeführer sinngemäss Ausführungen betreffend eines Wechsels der amtlichen Verteidigung macht, liegen diese ausserhalb des Streitgegenstandes, weshalb darauf von vornherein nicht eingetreten werden kann.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setzt sich nicht mit der Begründung des Obergerichts auseinander und vermag mit seinen nicht sachbezogenen Ausführungen nicht ansatzweise aufzuzeigen, inwiefern die Begründung des Obergerichts, die zur Abweisung des Fristerstreckungsgesuchs führte, bzw. die Verfügung des Obergerichts selbst rechts- bzw. verfassungswidrig sein soll. Die Beschwerde genügt den gesetzlichen Formerfordernissen offensichtlich nicht, weshalb auf sie im vereinfachten Verfahren nach Art. 108 Abs. 1 BGG nicht einzutreten ist.</w:t>
      </w:r>
    </w:p>
    <w:p>
      <w:r>
        <w:rPr>
          <w:b/>
        </w:rPr>
        <w:t>E. 5</w:t>
      </w:r>
    </w:p>
    <w:p>
      <w:r>
        <w:t>Angesichts der Aussichtslosigkeit des Verfahrens ist dem Gesuch um unentgeltliche Rechtspflege und Beiordnung eines (neuen) Anwalts ( Art. 64 BGG ) nicht zu entsprechen.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