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1B_196/2018 vom 26. November 2018</w:t>
      </w:r>
    </w:p>
    <w:p>
      <w:r>
        <w:t>Bundesgericht, 2018-11-26, DE</w:t>
      </w:r>
    </w:p>
    <w:p>
      <w:r>
        <w:rPr>
          <w:b/>
        </w:rPr>
        <w:t xml:space="preserve">Quelle: </w:t>
      </w:r>
      <w:r>
        <w:t>https://mcp.opencaselaw.ch/entscheid/bger_1B_196_2018</w:t>
      </w:r>
    </w:p>
    <w:p>
      <w:r>
        <w:t>FR: TF 1B_196/2018 du 26 novembre 2018</w:t>
      </w:r>
    </w:p>
    <w:p>
      <w:r>
        <w:t>IT: TF 1B_196/2018 del 26 novembre 2018</w:t>
      </w:r>
    </w:p>
    <w:p>
      <w:pPr>
        <w:pStyle w:val="Heading2"/>
      </w:pPr>
      <w:r>
        <w:t>Erwägungen</w:t>
      </w:r>
    </w:p>
    <w:p>
      <w:r>
        <w:rPr>
          <w:b/>
        </w:rPr>
        <w:t>E. 1</w:t>
      </w:r>
    </w:p>
    <w:p>
      <w:r>
        <w:t>Der angefochtene Entscheid schliesst das Strafverfahren nicht ab. Es handelt sich um einen strafprozessualen Zwischenentscheid. Zu prüfen ist, inwieweit dem Beschwerdeführer (im Sinne von Art. 93 Abs. 1 lit. a BGG ) ein nicht wieder gutzumachender Nachteil droht. Das Bundesgericht beurteilt diese Frage von Amtes wegen und mit freier Kognition ( BGE 142 IV 196 E. 1.1 S. 197; 140 IV 57 E. 2 S. 59 mit Hinweisen; vgl. Art. 29 Abs. 1 und Art. 106 Abs. 1 i.V.m. Art. 78 ff. BGG ).</w:t>
      </w:r>
    </w:p>
    <w:p>
      <w:r>
        <w:rPr>
          <w:b/>
        </w:rPr>
        <w:t>E. 1.1</w:t>
      </w:r>
    </w:p>
    <w:p>
      <w:r>
        <w:t>Beim angefochtenen Entscheid handelt es sich um einen Teil-Entsiegelungsentscheid. Soweit die Vorinstanz für einen Teil der versiegelten Asservate lediglich eine richterliche Triage prozessleitend verfügt und über eine materielle Entsiegelung (Herausgabe an die BA zur Durchsuchung) noch nicht entschieden hat, ist darauf mangels nicht wieder gutzumachenden Rechtsnachteils nicht einzutreten (vgl. Urteile des Bundesgerichtes 1B_328/2017 vom 26. Januar 2018 E. 1.3; 1B_63/2014 vom 16. April 2014 E. 1.3; 1B_162/2013 vom 3. Juli 2013 E. 1.2; 1B_151/ 2013 vom 31. Oktober 2013 E. 2.2; je mit Hinweisen).</w:t>
      </w:r>
    </w:p>
    <w:p>
      <w:r>
        <w:rPr>
          <w:b/>
        </w:rPr>
        <w:t>E. 1.2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bzw. Bundesanwaltschaft im Vorverfahren ein Entsiegelungsgesuch, hat das Zwangsmassnahmengericht im Entsiegelungsverfahren zu prüfen, ob von den Betroffenen angerufene schutzwürdige Geheimnisinteressen oder andere gesetzliche Entsiegelungshindernisse einer Durchsuchung entgegenstehen ( Art. 248 Abs. 2-4 StPO ; BGE 144 IV 74 E. 2.2 S. 77; 141 IV 77 E. 4.1 S. 81 mit Hinweisen).</w:t>
      </w:r>
    </w:p>
    <w:p>
      <w:r>
        <w:t>Stellt die zuständige Strafbehörde nicht innert 20 Tagen ein Entsiegelungsgesuch, so werden die versiegelten Aufzeichnungen und Gegenstände der berechtigten Person zurückgegeben ( Art. 248 Abs. 2 StPO ). Stellt sie ein Entsiegelungsgesuch, so entscheidet darüber im Vorverfahren das Zwangsmassnahmengericht ( Art. 248 Abs. 3 lit. a StPO ). Hier war das Zwangsmassnahmengericht des Kantons Bern zuständig ( Art. 65 Abs. 1-2 StBOG i.V.m. Art. 18 Abs. 1 StPO ). Die Beschwerde an das Bundesstrafgericht oder eine kantonale Beschwerdeinstanz ist ausgeschlossen (Art. 248 Abs. 3 Ingress i.V.m. Art. 379 f. und Art. 393 ff. StPO ), weshalb das Zwangsmassnahmengericht auch kantonal letztinstanzlich entschieden hat (vgl. Art. 80 Abs. 2 Satz 3 BGG ).</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(besonders bei sehr umfangreichen Unterlagen oder elektronischen Dateien)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rPr>
          <w:b/>
        </w:rPr>
        <w:t>E. 1.3</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1 von BGE 144 IV 74 , E. 2.1 von BGE 143 IV 270 und E. 2 von BGE 142 IV 207 ; s.a. BGE 141 IV 77 E. 4.4 und E. 5 S. 82 ff.; 140 IV 28 E. 3.2 S. 32; 138 IV 225 E. 6.1 S. 227 f.). Das blosse Motiv, dass eine betroffene (namentlich die beschuldigte) Person strafprozessuale Beweiserhebungen möglichst unterbinden möchte, begründet für sich allein noch kein rechtlich geschütztes Geheimnisinteresse im Sinne von Art. 248 Abs. 1 StPO und damit keinen drohenden nicht wieder gutzumachenden Rechtsnachteil ( BGE 144 IV 74 E. 2.6 S. 79 f.; 142 IV 207 E. 11 S. 228). Auch der alleinige Umstand, dass ein Beweismittel, dessen Verwertbarkeit der Beschwerdeführer bestreitet, in den Akten bleibt bzw. durchsucht wird, stellt nach der Praxis des Bundesgerichtes grundsätzlich keinen Nachteil im Sinne von Art. 93 Abs. 1 lit. a BGG dar, zumal der Betroffene seinen Einwand nötigenfalls bis zum Abschluss des Strafverfahrens erneut vorbringen kann. Er kann die Frage der Verwertbarkeit des Beweismittels namentlich dem Sachrichter unterbreiten. Beruft sich der Beschwerdeführer bei der Anfechtung von Entsiegelungsentscheiden nicht auf konkrete bereits im Vorverfahren zu schützende Geheimnisgründe, sondern ausschliesslich auf allgemeine Beschlagnahme- und Durchsuchungshindernisse, droht ihm daher in der Regel kein nicht wieder gutzumachender Rechtsnachteil (vgl. BGE 143 IV 270 E. 7.6 S. 285; 387 E. 4.4 S. 394; 142 IV 207 E. 9.8 S. 227; 141 IV 289 E. 1 S. 291 f.; je mit Hinweisen).</w:t>
      </w:r>
    </w:p>
    <w:p>
      <w:r>
        <w:t>Der Beschwerdeführer hat die betreffenden Sachurteilsvoraussetzungen ausreichend zu substanziieren, soweit sie nicht offensichtlich erfüllt sind ( Art. 42 Abs. 1-2 BGG ; BGE 141 IV 1 E. 1.1 S. 4 f.; 284 E. 2.3 S. 287; 289 E. 1.3 S. 292; je mit Hinweisen).</w:t>
      </w:r>
    </w:p>
    <w:p>
      <w:r>
        <w:rPr>
          <w:b/>
        </w:rPr>
        <w:t>E. 1.4</w:t>
      </w:r>
    </w:p>
    <w:p>
      <w:r>
        <w:t>In der 45 Seiten umfassenden Beschwerdeschrift wird zum Sachurteilserfordernis von Art. 93 Abs. 1 lit. a BGG Folgendes ausgeführt: "Der Beschwerdeführer ist Eigentümer und Geheimnisträger sämtlicher betroffener Siegelungsgegenstände gemäss den Sicherstellungspositionen in den Ziffern 2 bis 3.2 des Dispositivs des Entscheids des Kantonalen Zwangsmassnahmengerichts Bern vom 15. März 2018. Der angefochtene Entscheid würde zu einem auch durch einen Endentscheid in Strafsachen nicht mehr korrigierbaren Eingriff in seine rechtlich geschützten Privatgeheimnisse führen. Damit ist er zur Beschwerde legitimiert und es droht ihm ein nicht wieder gutzumachender Rechtsnachteil" (Beschwerdeschrift, S. 6 Rz. 5.1).</w:t>
      </w:r>
    </w:p>
    <w:p>
      <w:r>
        <w:t>Diese Vorbringen genügen den gesetzlichen Anforderungen an die Substanziierung des nicht wieder gutzumachenden Rechtsnachteils nicht. Der Beschwerdeführer legt nicht dar, welche konkreten "rechtlich geschützten Privatgeheimnisse" hier einer Entsiegelung entgegen stehen könnten. Daran ändert auch der Hinweis nichts, er sei Eigentümer und Geheimnisträger der Asservate, deren Entsiegelung die Vorinstanz verfügt habe. Jede durch einen richterlichen Entsiegelungsentscheid bewilligte Durchsuchung von privaten Schriftstücken, Aufzeichnungen und Datenträgern ( Art. 246-248 StPO ) tangiert den betroffenen Inhaber zwangsläufig in seinen Grundrechten, etwa dem Anspruch auf Privatsphäre (vgl. Art. 196-197 StPO i.V.m. Art. 13 Abs. 1 BV ). Ein gesetzliches Entsiegelungshindernis (und ein entsprechender nicht wieder gutzumachender Rechtsnachteil) kommt nach Art. 248 Abs. 1 StPO aber nur in Frage, wenn ein Zeugnisverweigerungsrecht oder andere rechtlich geschützte Geheimnisinteressen (wie z.B. das Anwaltsgeheimnis, das ärztliche Patientengeheimnis oder private Geschäfts- und Fabrikationsgeheimnisse etc.) der Durchsuchung entgegenstehen. Nach der oben dargelegten Praxis des Bundesgerichtes sind solche konkreten Geheimnisrechte bei Beschwerden gegen Entsiegelungsentscheide daher zumindest knapp und kursorisch zu substanziieren.</w:t>
      </w:r>
    </w:p>
    <w:p>
      <w:r>
        <w:rPr>
          <w:b/>
        </w:rPr>
        <w:t>E. 1.5</w:t>
      </w:r>
    </w:p>
    <w:p>
      <w:r>
        <w:t>Wie schon erwähnt, obliegt es der beschwerdeführenden Partei, die Sachurteilsvoraussetzungen der Beschwerde in Strafsachen innert der gesetzlichen Beschwerdefrist ( Art. 100 Abs. 1 BGG ) nachvollziehbar darzulegen. Wie die Bundesanwaltschaft in ihrer Stellungnahme zutreffend bemerkt, gehört es grundsätzlich nicht zu den Aufgaben des Bundesgerichtes, umfangreiche Beschwerdeeingaben und die vorinstanzlichen Akten nach weiteren Hinweisen abzusuchen, mit denen sich ein drohender nicht wieder gutzumachender Rechtsnachteil allenfalls (indirekt) begründen liesse ( BGE 134 II 45 E. 2.2.3 S. 48; 133 II 249 E. 1.1 S. 251; 353 E. 1 S. 356; 400 E. 2 [Ingress] S. 404; vgl. Annette Dolge, in: Spühler/Aemisegger/Dolge/Vock [Hrsg.], Praxiskommentar BGG, 2. Aufl., Zürich 2013, Art. 42 N. 28; Laurent Merz, in: Basler Kommentar BGG, 3. Auflage 2018, Art. 42 N. 70). Aber selbst wenn hier auch noch die Vorbringen des Beschwerdeführers im vorinstanzlichen Verfahren sowie die materiellen Erwägungen des Zwangsmassnahmengerichtes ausnahmsweise mitberücksichtigt würden, wäre im vorliegenden Fall keine drohende Verletzung von rechtlich geschützten Geheimnisinteressen ersichtlich:</w:t>
      </w:r>
    </w:p>
    <w:p>
      <w:r>
        <w:t>Nach den Feststellungen der Vorinstanz habe sich der Beschwerdeführer zwar für die Asservate Nrn. 08.01.0019 und 08.01.0020 auf das Anwaltsgeheimnis berufen. Die Bundesanwaltschaft hat diesbezüglich ihr Entsiegelungsgesuch jedoch schon im vorinstanzlichen Verfahren förmlich zurückgezogen. Diese Asservate wurden folgerichtig auch nicht entsiegelt (vgl. angefochtener Entscheid, S. 36 E. 9.1 und Dispositiv Ziff. 2).</w:t>
      </w:r>
    </w:p>
    <w:p>
      <w:r>
        <w:t>Im vorinstanzlichen Verfahren habe der Beschwerdeführer zudem geltend gemacht, er habe seine (sieben) Agenden (Asservate Nrn. 06.18.0008, 06.18.0009, 06.18.0010, 06.18.0011, 06.18.0012, 06.18.0013 und 06.18.0014) vor deren Sicherstellung mit einem seiner Anwälte "durchgearbeitet und besprochen". Dabei seien die Agenda-Einträge teilweise mit handschriftlichen Anmerkungen versehen worden. Hier ist ebenfalls keine drohende Verletzung des Anwaltsgeheimnisses ersichtlich. Erstens wurde im angefochtenen Entscheid noch gar keine Herausgabe der Agenden an die Bundesanwaltschaft zur Durchsuchung verfügt, sondern lediglich ihre Triage, um die angeblichen handschriftlichen Anmerkungen des Anwaltes "zu verifizieren" (angefochtener Entscheid, S. 39 f., E. 9.4). Schon deshalb besteht diesbezüglich kein drohender nicht wieder gutzumachender Nachteil (vgl. oben, E. 1.1). Und zweitens könnte eine beschuldigte Person in ihrem Besitz befindliche relevante Beweismittel nicht schon dadurch dem Zugriff der Strafbehörden definitiv entziehen, dass sie diese mit einem Anwalt bespricht oder von ihm mit handschriftlichen "Anmerkungen" versehen lässt.</w:t>
      </w:r>
    </w:p>
    <w:p>
      <w:r>
        <w:t>Was die restlichen elektronischen Aufzeichnungen und Unterlagen (insbesondere einzelne E-Mails) betrifft, wurde im angefochtenen Entscheid darauf hingewiesen, dass der Beschwerdeführer schon im vorinstanzlichen Verfahren eine drohende Verletzung des Anwaltsgeheimnisses nicht ausreichend substanziiert habe. Auch Entsiegelungshindernisse wegen überwiegenden schutzwürdigen Privatgeheimnissen seien für das Zwangsmassnahmengericht nicht ersichtlich gewesen (vgl. angefochtener Entscheid, S. 37-40, E. 9.2-9.4).</w:t>
      </w:r>
    </w:p>
    <w:p>
      <w:r>
        <w:rPr>
          <w:b/>
        </w:rPr>
        <w:t>E. 2</w:t>
      </w:r>
    </w:p>
    <w:p>
      <w:r>
        <w:t>Nach dem Gesagten ist hier kein drohender nicht wieder gutzumachender Rechtsnachteil (im Sinne von Art. 93 Abs. 1 lit. a BGG i.V.m. Art. 248 Abs. 1 StPO ) dargetan. Auf die Beschwerde ist nicht einzutreten.</w:t>
      </w:r>
    </w:p>
    <w:p>
      <w:r>
        <w:t>Die Gerichtskosten sind dem Beschwerdeführer aufzuerlegen ( Art. 66 Abs. 1 BGG ). Eine Parteientschädigung ist nicht zuzusprechen ( Art. 68 BGG ). Das Gesuch um aufschiebende Wirkung der Beschwerde wird mit dem vorliegenden Entscheid in der Sache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