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195/2016 vom 8. Juni 2016</w:t>
      </w:r>
    </w:p>
    <w:p>
      <w:r>
        <w:t>Bundesgericht, 2016-06-08, DE</w:t>
      </w:r>
    </w:p>
    <w:p>
      <w:r>
        <w:rPr>
          <w:b/>
        </w:rPr>
        <w:t xml:space="preserve">Quelle: </w:t>
      </w:r>
      <w:r>
        <w:t>https://mcp.opencaselaw.ch/entscheid/bger_1B_195_2016</w:t>
      </w:r>
    </w:p>
    <w:p>
      <w:r>
        <w:t>FR: TF 1B 195/2016 du 8 juin 2016</w:t>
      </w:r>
    </w:p>
    <w:p>
      <w:r>
        <w:t>IT: TF 1B 195/2016 del 8 giugno 2016</w:t>
      </w:r>
    </w:p>
    <w:p>
      <w:pPr>
        <w:pStyle w:val="Heading2"/>
      </w:pPr>
      <w:r>
        <w:t>Regeste</w:t>
      </w:r>
    </w:p>
    <w:p>
      <w:r>
        <w:t>Untersuchungshaft | Strafprozess</w:t>
      </w:r>
    </w:p>
    <w:p>
      <w:pPr>
        <w:pStyle w:val="Heading2"/>
      </w:pPr>
      <w:r>
        <w:t>Erwägungen</w:t>
      </w:r>
    </w:p>
    <w:p>
      <w:r>
        <w:rPr>
          <w:b/>
        </w:rPr>
        <w:t>E. 1</w:t>
      </w:r>
    </w:p>
    <w:p>
      <w:r>
        <w:t>Angefochten ist der kantonal letztinstanzliche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In Bezug auf den Vorfall im Restaurant "..." wird der Beschwerdeführer vor allem durch seine damaligen Arbeitskollegen und Vorgesetzten stark belastet. Nach den Aussagen von B.________ und C.________ verfügte der Beschwerdeführer am 1. und am 2. Februar 2016 zeitweilig über einen Tresorschlüssel. Am 2. Februar 2016 verbuchte der Beschwerdeführer im System, der im Tresor fehlende Betrag von Fr. 26'700.- sei auf ein Bankkonto des Arbeitgebers einbezahlt worden. Sein Vorgesetzter D.________ und seine Mitarbeiterin E.________ sagten aus, nachdem das Fehlen des Geldes im Tresor bemerkt worden sei, habe ihnen der Beschwerdeführer erklärt, er habe das Geld am Vortag bei der Bank einbezahlt. Die entsprechende Quittung habe er aber nicht vorweisen können. Er sei dann aufgefordert worden, diese beizubringen. Das Geld war effektiv nicht auf das fragliche Konto einbezahlt worden, was klarerweise den dringenden Verdacht begründet, dass sich der hoch verschuldete Beschwerdeführer, der zwischen dem 30. Januar und dem 4. Februar 2016 insgesamt Fr. 23'300.-- verspielte, den Geldbetrag unrechtmässig angeeignet hat. Die Explosion ereignete sich sodann just in dem Zeitraum, als der Beschwerdeführer den (nicht existierenden) Zahlungsbeleg beibringen sollte. Nach übereinstimmenden Aussagen verschiedener Mitarbeiter verhielt sich der Beschwerdeführer vor der Explosion auffallend nervös; B.________ und E.________ gaben an, er habe sie kurz vor der Explosion gedrängt, sich vom Lagerraum (und damit aus der gefährdeten Zone) zu entfernen. Aufgrund der zeitlichen Abfolge und der Aussagen seiner damaligen Arbeitskollegen ist der Beschwerdeführer damit auch dringend verdächtig, die Explosion herbeigeführt zu haben. Zutreffend ist der Einwand des Beschwerdeführers, dass keine "schlagkräftigen" objektiven Belastungsbeweise wie etwa Fingerabdrücke oder DNA-Spuren auf der geöffneten Gasflasche gegen ihn vorliegen. Das ändert indessen nichts daran, dass er durch die aufgeführten, sich gegenseitig stützenden Indizien dringend verdächtig erscheint. Der Tatverdacht bezieht sich zudem auf Verbrechen ( Art. 111, Art. 139 Ziff. 1 und Art. 223 Ziff. 1 StGB i.V.m. Art. 22 Abs. 2 StGB ), womit der allgemeine Haftgrund gegeben ist.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 Der Beschwerdeführer ist thailändisch-schweizerischer Doppelbürger, wurde 1986 in Thailand geboren und kam mit 11 Jahren in die Schweiz, wo er die Schulen besuchte und eine Kochlehre bestand. Nach der Rekrutenschule als Truppenkoch arbeitete er bei verschiedenen Gastrobetrieben. Er lebt bei seinen Eltern und hat Freunde, die ihn teilweise auch in der Untersuchungshaft besuchen. Er ist somit privat und gesellschaftlich in der Schweiz gut integriert. Allerdings ist seine wirtschaftliche Existenz prekär, hat er doch, offenbar vor allem wegen seiner Leidenschaft für das Pokerspiel, Schulden in der Grössenordnung von Fr. 120'000.-- angehäuft, und seine berufliche Zukunftsaussichten sind, mit dem einer allfälligen Verurteilung entsprechenden Strafregisterauszug, zumindest stark getrübt. Für den Fall einer Verurteilung droht ihm zudem eine empfindliche Freiheitsstrafe. Er könnte somit ohne weiteres versucht sein, sich den Gläubigern und den Strafverfolgungsbehörden in der Schweiz zu entziehen, um in Thailand, das er gut kennt und wo er Verwandtschaft hat, unterzutauchen und sich ein neues Leben aufzubauen. Das Appellationsgericht hat kein Bundesrecht verletzt, indem es diese Möglichkeit als wahrscheinlich einstufte und Fluchtgefahr bejahte.</w:t>
      </w:r>
    </w:p>
    <w:p>
      <w:r>
        <w:rPr>
          <w:b/>
        </w:rPr>
        <w:t>E. 2.3</w:t>
      </w:r>
    </w:p>
    <w:p>
      <w:r>
        <w:t>Der Beschwerdeführer macht geltend, die Fluchtgefahr liesse sich auch durch eine Schriftensperre bannen, da er ohne Reisedokumente nicht nach Thailand reisen könne. Da somit eine Ersatzmassnahme den gleichen Zweck erfüllen könne, sei die Anordnung von Untersuchungshaft unverhältnismässig. Der Einwand ist unbegründet. Zwar mag es schwierig sei, ohne Reisedokumente nach Thailand zu reisen. Es ist aber nicht auszuschliessen, dass sich der Beschwerdeführer in Freiheit thailändische Dokumente besorgen würde; das könnten die Schweizerischen Behörden weder verhindern noch kontrollieren. Eine Schriftensperre ist unter diesen Umständen nicht geeignet, den Beschwerdeführer zuverlässig an einer Flucht zu hindern.</w:t>
      </w:r>
    </w:p>
    <w:p>
      <w:r>
        <w:rPr>
          <w:b/>
        </w:rPr>
        <w:t>E. 2.4</w:t>
      </w:r>
    </w:p>
    <w:p>
      <w:r>
        <w:t>In zeitlicher Hinsicht ist die Fortführung der Untersuchungshaft zurzeit noch unproblematisch. Damit ist der Beschwerdeführer der ihm vorgeworfenen Verbrechen dringend verdächtig, es besteht Fluchtgefahr und es sind keine tauglichen Ersatzmassnahmen ersichtlich. Die Beschwerde ist damit abzuweisen, ohne dass geprüft werden müsste, ob ein weiterer besonderer Haftgrund - z.B. Kollusionsgefahr - besteht, wie dies die Vorinstanz angenommen hat.</w:t>
      </w:r>
    </w:p>
    <w:p>
      <w:r>
        <w:rPr>
          <w:b/>
        </w:rPr>
        <w:t>E. 3</w:t>
      </w:r>
    </w:p>
    <w:p>
      <w:r>
        <w:t>Bei diesem Ausgang des Verfahrens wird der Beschwerdeführer kostenpflichtig (Art. 66 Abs. 1 BGGI).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