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1B_194/2020 vom 12. Mai 2020</w:t>
      </w:r>
    </w:p>
    <w:p>
      <w:r>
        <w:t>Bundesgericht, 2020-05-12, DE</w:t>
      </w:r>
    </w:p>
    <w:p>
      <w:r>
        <w:rPr>
          <w:b/>
        </w:rPr>
        <w:t xml:space="preserve">Quelle: </w:t>
      </w:r>
      <w:r>
        <w:t>https://mcp.opencaselaw.ch/entscheid/bger_1B_194_2020</w:t>
      </w:r>
    </w:p>
    <w:p>
      <w:r>
        <w:t>FR: TF 1B_194/2020 du 12 mai 2020</w:t>
      </w:r>
    </w:p>
    <w:p>
      <w:r>
        <w:t>IT: TF 1B_194/2020 del 12 maggio 2020</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w:t>
      </w:r>
    </w:p>
    <w:p>
      <w:r>
        <w:t>Untersuchungshaft kann unter anderem angeordnet werden, wenn ein dringender Tatverdacht in Bezug auf ein Verbrechen oder Vergehen sowie Flucht- oder Kollusionsgefahr besteht ( Art. 221 Abs. 1 StPO ).</w:t>
      </w:r>
    </w:p>
    <w:p>
      <w:r>
        <w:rPr>
          <w:b/>
        </w:rPr>
        <w:t>E. 2.1</w:t>
      </w:r>
    </w:p>
    <w:p>
      <w:r>
        <w:t>Das Obergericht hält den Beschwerdeführer für dringend verdächtig, C.________ und D.________ den Auftrag erteilt zu haben, E.________ zu töten. Der Beschwerdeführer bestreitet den Tatverdacht "an sich" nicht, zieht indessen die rechtliche Qualifikation des Vorfalls als (versuchten) Mord in Zweifel. Es bestünden keine Hinweise dafür, dass irgendjemand versucht habe, E.________ zu ermorden.</w:t>
      </w:r>
    </w:p>
    <w:p>
      <w:r>
        <w:t>Aufgrund der Geständnisse von C.________ und D.________ kann jedenfalls davon ausgegangen werden, dass sie mit Stöcken auf E.________ eingeschlagen haben mit dem Resultat, dass dieser mit schweren Gesichts- und Kopfverletzungen sowie diversen Knochenbrüchen an den Extremitäten in die Notfallstation des Kantonsspitals St. Gallen eingeliefert werden musste. Da schwere Stockschläge gegen den Kopf ohne Weiteres zum Tod des Opfers führen können, ist es keineswegs abwegig, von einem (versuchten) Tötungsdelikt und damit von einem Verbrechen (Art. 10 Abs. 2 und Art. 22 Abs. 1 i.V.m. Art. 112 oder allenfalls Art. 111 StGB ) auszugehen. Selbst wenn aber der Auftrag des Beschwerdeführers "nur" darin bestanden hätte, E.________ schwere Verletzungen zuzufügen, bezöge sich der Tatverdacht auf ein Verbrechen (Art. 10 Abs. 2 i.V.m. Art. 122 StGB ).</w:t>
      </w:r>
    </w:p>
    <w:p>
      <w:r>
        <w:t>Der dringende Tatverdacht in Bezug auf ein Verbrechen, der die Anordnung von Untersuchungshaft zu rechtfertigen vermag, ist damit gegeben.</w:t>
      </w:r>
    </w:p>
    <w:p>
      <w:r>
        <w:rPr>
          <w:b/>
        </w:rPr>
        <w:t>E. 2.2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w:t>
      </w:r>
    </w:p>
    <w:p>
      <w:r>
        <w:t>Für das Obergericht (E. 3 S. 15 ff.) ist der seit 2010 in der Schweiz lebende, sowohl über die belgische als auch die kosovarische Staatsbürgerschaft verfügende Beschwerdeführer schlecht integriert und hat, wenn überhaupt, so höchstens rudimentäre Deutschkenntnisse. Er hat einen Bruder, eine Schwester und mehrere Cousins, die in der Schweiz leben. Vor seiner Verhaftung war er arbeitslos, und es ist nicht ersichtlich, dass er in der Schweiz über seine engere Familie und Kollegen mit ähnlichem Migrationshintergrund wie er selber hinaus irgendwelche privaten Beziehungen pflegte. Seine Liebesbeziehung zur albanischen Staatsangehörigen F.________, der Schwester von D.________, ist für ihn kein Grund, in der Schweiz zu bleiben, da sie in der Zwischenzeit ausgeschafft wurde. Er hat somit kaum Bindungen an die Schweiz, die ihn von einer Flucht abhalten könnten. Hingegen hat er in Belgien Frau und Kinder, die er nach seinen eigenen Angaben regelmässig besucht, und im Kosovo weitere Verwandtschaft, zu der er einen guten Kontakt hält.</w:t>
      </w:r>
    </w:p>
    <w:p>
      <w:r>
        <w:t>Zusammenfassend ergibt sich, dass die Bindungen des Beschwerdeführers an die Schweiz schwach sind; sie erschöpfen sich offensichtlich im Wesentlichen darin, dass er hier bessere Möglichkeiten für sein wirtschaftliches Fortkommen sieht als in seinen Heimatländern. Auf der anderen Seite droht ihm für den Fall einer Verurteilung eine empfindliche, mehrjährige Freiheitsstrafe, was für den Beschwerdeführer einen starken Anreiz bietet, sich der weiteren Strafverfolgung in der Schweiz zu entziehen. Seine Aussichten, nach Abschluss des Verfahrens in der Schweiz bleiben zu können, sind ohnehin schlecht, da ihm für den Fall einer Verurteilung eine obligatorische Landesverweisung droht ( Art. 66a Abs. 1 lit. a und b StGB ). Dieses Risiko besteht umso mehr, als auch ein Verfahren wegen unrechtmässigen Bezugs von Sozialversicherungsleistungen gegen ihn eröffnet wurde. Auch dabei droht ihm für den Fall einer Verurteilung eine obligatorische Landesverweisung ( Art. 66a Abs. 1 lit. e StGB ). Unter diesen Umständen besteht offenkundig die ernsthafte, naheliegende Gefahr, dass sich der Beschwerdeführer in Freiheit der weiteren Strafverfolgung durch Flucht entziehen könnte, etwa in eines seiner Heimatländer, die er auf dem Landweg und damit wohl ohne grössere Schwierigkeiten erreichen könnte und die ihn als Staatsangehörigen auch nach einer allfälligen Verurteilung in der Schweiz kaum ausliefern würden. Das Obergericht hat kein Bundesrecht verletzt, indem es Fluchtgefahr bejahte.</w:t>
      </w:r>
    </w:p>
    <w:p>
      <w:r>
        <w:rPr>
          <w:b/>
        </w:rPr>
        <w:t>E. 2.3</w:t>
      </w:r>
    </w:p>
    <w:p>
      <w:r>
        <w:t>Besteht somit nebst dem allgemeinen Haftgrund des dringenden Tatverdachts mit Fluchtgefahr einer der besonderen Haftgründe, sind die Voraussetzungen für die Anordnung von Untersuchungshaft grundsätzlich erfüllt. Es kann daher offen bleiben, ob auch noch Kollusionsgefahr besteht.</w:t>
      </w:r>
    </w:p>
    <w:p>
      <w:r>
        <w:rPr>
          <w:b/>
        </w:rPr>
        <w:t>E. 2.4</w:t>
      </w:r>
    </w:p>
    <w:p>
      <w:r>
        <w:t>In zeitlicher Hinsicht ist die Fortführung der Untersuchungshaft nicht zu beanstanden. Der Beschwerdeführer wird bis zum 28. Mai 2020 ein Jahr Haft erstanden haben. Selbst wenn sich der ihm angelastete Auftrag darauf beschränkt haben sollte, E.________ schwer zu verletzen, droht ihm eine mehrjährige Freiheitsstrafe, die die bisher erstandene Untersuchungshaft weit überschreitet. Anzeichen dafür, dass die Untersuchung schleppend geführt wird, werden nicht substantiiert geltend gemacht und sind auch nicht ersichtlich.</w:t>
      </w:r>
    </w:p>
    <w:p>
      <w:r>
        <w:t>Ersatzmassnahmen, die den Beschwerdeführer zuverlässig von einer Flucht abhalten könnten, sind keine ersichtlich. Weder eine elektronische Fussfessel noch die Verpflichtung, sich regelmässig auf einem Polizeiposten zu melden, könnten eine Flucht verhindern. Dies umso weniger, als er in V.________ in einem grenznahen Raum lebt, von wo aus er sich in weniger als einer Stunde ins Ausland absetzen könnte. Es kann auf die zutreffenden Ausführungen des Obergerichts (E. 4.3.3 S. 20 f.) verwiesen werden.</w:t>
      </w:r>
    </w:p>
    <w:p>
      <w:r>
        <w:t>Die Fortführung der Untersuchungshaft ist daher auch unter Verhältnismässigkeitsgesichtspunkten nicht zu beanstanden.</w:t>
      </w:r>
    </w:p>
    <w:p>
      <w:r>
        <w:rPr>
          <w:b/>
        </w:rPr>
        <w:t>E. 3</w:t>
      </w:r>
    </w:p>
    <w:p>
      <w:r>
        <w:t>Die Beschwerde ist somit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