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193/2011 vom 16. Mai 2011</w:t>
      </w:r>
    </w:p>
    <w:p>
      <w:r>
        <w:t>Bundesgericht, 2011-05-16, DE</w:t>
      </w:r>
    </w:p>
    <w:p>
      <w:r>
        <w:rPr>
          <w:b/>
        </w:rPr>
        <w:t xml:space="preserve">Quelle: </w:t>
      </w:r>
      <w:r>
        <w:t>https://mcp.opencaselaw.ch/entscheid/bger_1B_193_2011</w:t>
      </w:r>
    </w:p>
    <w:p>
      <w:r>
        <w:t>FR: TF 1B 193/2011 du 16 mai 2011</w:t>
      </w:r>
    </w:p>
    <w:p>
      <w:r>
        <w:t>IT: TF 1B 193/2011 del 16 maggio 2011</w:t>
      </w:r>
    </w:p>
    <w:p>
      <w:pPr>
        <w:pStyle w:val="Heading2"/>
      </w:pPr>
      <w:r>
        <w:t>Regeste</w:t>
      </w:r>
    </w:p>
    <w:p>
      <w:r>
        <w:t>Haftverlängerung | Strafprozess</w:t>
      </w:r>
    </w:p>
    <w:p>
      <w:pPr>
        <w:pStyle w:val="Heading2"/>
      </w:pPr>
      <w:r>
        <w:t>Erwägungen</w:t>
      </w:r>
    </w:p>
    <w:p>
      <w:r>
        <w:rPr>
          <w:b/>
        </w:rPr>
        <w:t>E. 1</w:t>
      </w:r>
    </w:p>
    <w:p>
      <w:r>
        <w:t>Gemäss Art. 78 Abs. 1 BGG beurteilt das Bundesgericht Beschwerden gegen Entscheide in Strafsachen. Der angefochtene Entscheid ist kantonal letztinstanzlich (Art. 80 i.V.m. Art. 130 Abs. 1 BGG ). Mit dem angefochtenen Beschluss wurde die Untersuchungshaft gegen den Beschwerdeführer verlängert. Der Entscheid schliesst das Verfahren nicht ab, weshalb es sich um einen Zwischenentscheid handelt. Da dieser einen nicht wieder gutzumachenden Nachteil im Sinne von Art. 93 Abs. 1 lit. a BGG bewirken kann, ist die Beschwerde auch insoweit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der Schweizerischen Strafprozessordnung vom 5. Oktober 2007 (StPO; SR 312.0), welche am 1. Januar 2011 in Kraft getreten ist,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Abs. 1 StPO an Stelle der Untersuchungshaft eine oder mehrere mildere Massnahmen an, wenn sie den gleichen Zweck wie die Haft erfüllen.</w:t>
      </w:r>
    </w:p>
    <w:p>
      <w:r>
        <w:rPr>
          <w:b/>
        </w:rPr>
        <w:t>E. 3.1</w:t>
      </w:r>
    </w:p>
    <w:p>
      <w:r>
        <w:t>Der Tatverdacht gegen den Beschwerdeführer wegen qualifizierten Betäubungsmittelhandels basiert auf folgendem Hintergrund: lm April 2009 wurde Y.________ wegen Verdachts auf Widerhandlungen gegen das Betäubungsmittelgesetz verhaftet. In seiner Wohnung in Biel stellte die Kantonspolizei über 180 Kilogramm Streckmaterial (Koffein/Paracetamol) und über 1,8 Kilogramm Heroingemisch mit einem Reinheitsgrad von 12-50 % sicher. Y.________ sagte bei der Kantonspolizei aus, der Beschwerdeführer habe ihm ein Kilogramm gestrecktes Heroin übergeben, das er in dessen Auftrag nach Genf transportiert habe. Zudem gehöre rund ein Kilogramm des in seiner Wohnung aufgefundenen Heroingemischs dem Beschwerdeführer.</w:t>
      </w:r>
    </w:p>
    <w:p>
      <w:r>
        <w:rPr>
          <w:b/>
        </w:rPr>
        <w:t>E. 3.2</w:t>
      </w:r>
    </w:p>
    <w:p>
      <w:r>
        <w:t>Der Beschwerdeführer macht geltend, der dringende Tatverdacht werde einzig mit diesen ihn belastenden Erst-Aussagen von Y.________ begründet. Anlässlich der durchgeführten Konfrontationseinvernahme habe Y.________ jedoch seine Beschuldigungen nicht wiederholt, sondern die Aussage verweigert. Die ursprünglichen Aussagen von Y.________ seien wenig glaubhaft, da namentlich in Widerspruch zu dessen Schilderung auf den angeblich zum Abpacken der Drogen verwendeten Utensilien keine DNS-Spuren von ihm hätten sichergestellt werden können.</w:t>
      </w:r>
    </w:p>
    <w:p>
      <w:r>
        <w:rPr>
          <w:b/>
        </w:rPr>
        <w:t>E. 3.3</w:t>
      </w:r>
    </w:p>
    <w:p>
      <w:r>
        <w:t>Die Vorinstanz hat in Übereinstimmung mit den Ausführungen des Zwangsmassnahmengerichts, die Erst-Aussagen von Y.________ als stichhaltig angesehen. Demgegenüber erscheine es wenig glaubhaft, dass der Beschwerdeführer, wie er selber einräume, sich zwar des Öfteren in der Wohnung von Y.________ aufgehalten, dabei aber weder Heroin noch Streckmaterial gesehen habe.</w:t>
      </w:r>
    </w:p>
    <w:p>
      <w:r>
        <w:rPr>
          <w:b/>
        </w:rPr>
        <w:t>E. 3.4</w:t>
      </w:r>
    </w:p>
    <w:p>
      <w:r>
        <w:t>Das Bundesgericht hat bei der Überprüfung des dringenden Tatverdachts keine erschöpfende Abwägung sämtlicher belastender und entlastender Beweise vorzunehmen. Zu prüfen ist vielmehr, ob genügend konkrete Anhaltspunkte für eine Straftat und eine Beteiligung des Beschwerdeführers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(vgl. BGE 116 Ia 143 E. 3c S. 146).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(vgl. BGE 124 I 208 E. 3 S. 210 mit Hinweisen; Urteil 1B_330/2009 vom 2. Dezember 2009 E. 3).</w:t>
      </w:r>
    </w:p>
    <w:p>
      <w:r>
        <w:rPr>
          <w:b/>
        </w:rPr>
        <w:t>E. 3.5</w:t>
      </w:r>
    </w:p>
    <w:p>
      <w:r>
        <w:t>Mit seinen Erst-Aussagen belastete Y.________ den Beschwerdeführer erheblich. Der Umstand, dass er anlässlich der Konfrontationseinvernahme mit dem Beschwerdeführer diese Belastungen nicht wiederholte, sondern die Aussage verweigerte, ändert nichts daran, dass die tatnahen Aussagen von Y.________ geeignet bleiben, den dringenden Tatverdacht gegen den Beschwerdeführer zu begründen (vgl. insoweit auch Urteil des Bundesgerichts 1B_203/2010 vom 14. Juli 2010 E. 2.3). Die Vorbringen in der Beschwerde vermögen diese Bewertung nicht in Frage zu stellen. Dass in der Wohnung von Y.________ einzig auf Bierflaschen und Sportgeräten, nicht aber auf den Drogenutensilien DNS-Spuren des Beschwerdeführers sichergestellt werden konnten, bedeutet nicht, dass keine konkreten Anhaltspunkte für eine Beteiligung des Beschwerdeführers an den Drogengeschäften bestünden. Vielmehr ist die Einschätzung der Vorinstanz, es erscheine wenig glaubhaft, dass der Beschwerdeführer trotz mehrmaligen Aufenthalts in der Wohnung von Y.________ nichts von den Drogen mitbekommen habe, ohne Weiteres vertretbar. Ob die Beweise schliesslich für eine Verurteilung des Beschwerdeführers ausreichen werden, ist eine Frage, die das Sachgericht zu entscheiden haben wird. Dieses wird eine eingehende Würdigung der Aussagen der Beteiligten und deren Aussageverhaltens sowie der weiteren Beweisergebnisse vorzunehmen haben. Zusammenfassend durfte die Vorinstanz insbesondere gestützt auf die belastenden Erst-Aussagen von Y.________ das Vorliegen eines dringenden Tatverdachts bejahen.</w:t>
      </w:r>
    </w:p>
    <w:p>
      <w:r>
        <w:rPr>
          <w:b/>
        </w:rPr>
        <w:t>E. 4.1</w:t>
      </w:r>
    </w:p>
    <w:p>
      <w:r>
        <w:t>Der Beschwerdeführer bestreitet das Vorliegen von Fluchtgefahr. Sein Lebensmittelpunkt befinde sich in der Schweiz, wo er seit 15 Jahren lebe und sich auch seine beiden Kinder aufhielten.</w:t>
      </w:r>
    </w:p>
    <w:p>
      <w:r>
        <w:rPr>
          <w:b/>
        </w:rPr>
        <w:t>E. 4.2</w:t>
      </w:r>
    </w:p>
    <w:p>
      <w:r>
        <w:t>Die Vorinstanz hat namentlich erwogen, der Beschwerdeführer habe sich bereits in der Zeit von September 2009 bis November 2010 im Ausland aufgehalten, ohne seine beiden Kinder in der Schweiz zu besuchen oder sie andernorts zu treffen. Abgesehen von seinen Kindern habe er keine Verwandten und keine engen persönlichen Bindungen in der Schweiz, die ihn von einer Flucht abhalten würden. Er verfüge über keine Arbeitsstelle und seine Niederlassungsbewilligung sei mittlerweile erloschen. Hinzu komme, dass er äusserst gute Kontakte ins Ausland pflege, habe er doch Familienangehörige und Bekannte in Albanien und Italien, bei welchen er problemlos untertauchen könnte. Bedenke man schliesslich, dass der Beschwerdeführer bei einer Verurteilung mit einer erheblichen Freiheitsstrafe von mindestens einem Jahr rechnen müsse, so sei der Haftgrund der Fluchtgefahr zweifellos zu bejahen.</w:t>
      </w:r>
    </w:p>
    <w:p>
      <w:r>
        <w:rPr>
          <w:b/>
        </w:rPr>
        <w:t>E. 4.3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 BGE 123 I 268 E. 2e S. 271 ff.; Urteil 1B_172/2010 vom 25. Oktober 2010 E. 3.3).</w:t>
      </w:r>
    </w:p>
    <w:p>
      <w:r>
        <w:rPr>
          <w:b/>
        </w:rPr>
        <w:t>E. 4.4</w:t>
      </w:r>
    </w:p>
    <w:p>
      <w:r>
        <w:t>Die Vorinstanz hat sich im angefochtenen Beschluss eingehend mit dem Haftgrund der Fluchtgefahr auseinandergesetzt. Ihre Ausführungen überzeugen. Die Tatsache, dass die beiden Kinder des Beschwerdeführers in der Schweiz leben, vermag die für die Fluchtgefahr sprechenden Indizien nicht aufzuwiegen. Berücksichtigt man, dass der Beschwerdeführer über keine sonstigen engen persönlichen Beziehungen und über keine Arbeitsstelle in der Schweiz verfügt, dass seine Niederlassungsbewilligung erloschen ist, dass er gute Kontakte ins Ausland pflegt, und dass er bei einer Verurteilung mit einer empfindlichen Freiheitsstrafe rechnen muss, so verletzt der Schluss auf das Vorliegen von Fluchtgefahr kein Bundesrecht. Ersatzmassnahmen kommen vorliegend nicht in Betracht.</w:t>
      </w:r>
    </w:p>
    <w:p>
      <w:r>
        <w:rPr>
          <w:b/>
        </w:rPr>
        <w:t>E. 5</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