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1B_193/2007 vom 19. September 2007</w:t>
      </w:r>
    </w:p>
    <w:p>
      <w:r>
        <w:t>Bundesgericht, 2007-09-19, DE</w:t>
      </w:r>
    </w:p>
    <w:p>
      <w:r>
        <w:rPr>
          <w:b/>
        </w:rPr>
        <w:t xml:space="preserve">Quelle: </w:t>
      </w:r>
      <w:r>
        <w:t>https://mcp.opencaselaw.ch/entscheid/bger_1B_193_2007</w:t>
      </w:r>
    </w:p>
    <w:p>
      <w:r>
        <w:t>FR: TF 1B_193/2007 du 19 septembre 2007</w:t>
      </w:r>
    </w:p>
    <w:p>
      <w:r>
        <w:t>IT: TF 1B_193/2007 del 19 settembre 2007</w:t>
      </w:r>
    </w:p>
    <w:p>
      <w:pPr>
        <w:pStyle w:val="Heading2"/>
      </w:pPr>
      <w:r>
        <w:t>Erwägungen</w:t>
      </w:r>
    </w:p>
    <w:p>
      <w:r>
        <w:rPr>
          <w:b/>
        </w:rPr>
        <w:t>E. 1</w:t>
      </w:r>
    </w:p>
    <w:p>
      <w:r>
        <w:t>Das Strafgerichtspräsidium des Kantons Basel-Landschaft lehnte mit Verfügung vom 30. Juli 2007 den Antrag von X.________ auf Wechsel seines Offizialverteidigers ab. Gegen diese Verfügung erhob X.________ am 6. August 2007 Beschwerde beim Kantonsgericht Basel-Landschaft. Dieses wies mit Beschluss vom 14. August 2007 die Beschwerde ab. Zur Begründung führte es zusammenfassend aus, dass die vom Beschwerdeführer gemachten Ausführungen die Annahme eines nach objektiven Gesichtspunkten gestörten Vertrauensverhältnisses nicht begründen könnten. Dem Rechtsvertreter könne kein objektives Fehlverhalten vorgeworfen werden.</w:t>
      </w:r>
    </w:p>
    <w:p>
      <w:r>
        <w:t>Am 23./24. August 2007 fand die Hauptverhandlung vor dem Strafgericht Basel-Landschaft statt.</w:t>
      </w:r>
    </w:p>
    <w:p>
      <w:r>
        <w:rPr>
          <w:b/>
        </w:rPr>
        <w:t>E. 2</w:t>
      </w:r>
    </w:p>
    <w:p>
      <w:r>
        <w:t>X.________ führt mit Eingabe vom 27. August 2007 (Postaufgabe 5. September 2007) Beschwerde in Strafsachen ( Art. 78 ff. BGG ) gegen den Beschluss des Kantonsgerichts Basel-Landschaft vom 14. August 2007. Das Bundesgericht verzichtet auf die Einholung von Vernehmlassungen.</w:t>
      </w:r>
    </w:p>
    <w:p>
      <w:r>
        <w:rPr>
          <w:b/>
        </w:rPr>
        <w:t>E. 3</w:t>
      </w:r>
    </w:p>
    <w:p>
      <w:r>
        <w:t>Nach Art. 42 Abs. 2 BGG ist in der Begründung einer Beschwerde in gedrängter Form darzulegen, inwiefern der angefochtene Entscheid Recht verletzt. Vorliegend setzt sich der Beschwerdeführer nicht mit den Ausführungen im angefochtenen Beschluss auseinander. Er legt nicht dar, inwiefern das Kantonsgericht Recht verletzt haben sollte, als es die Beschwerde abwies. Da keine sachbezogenen Ausführungen vorliegen, ist mangels einer hinreichenden Begründung im Sinne von Art. 42 Abs. 2 BGG auf die Beschwerde nicht einzutreten. Der Begründungsmangel ist offensichtlich, weshalb über die Beschwerde im vereinfachten Verfahren nach Art. 108 Abs. 1 lit. b BGG entschieden werden kann.</w:t>
      </w:r>
    </w:p>
    <w:p>
      <w:r>
        <w:rPr>
          <w:b/>
        </w:rPr>
        <w:t>E. 4</w:t>
      </w:r>
    </w:p>
    <w:p>
      <w:r>
        <w:t>Angesichts der offensichtlichen Aussichtslosigkeit der vorliegenden Beschwerde kann dem Gesuch um unentgeltliche Rechtspflege nicht entsprochen werden ( Art. 64 BGG ). Auf eine Kostenauflage kann indessen verzichtet werden ( Art. 66 Abs. 1 BGG ).</w:t>
      </w:r>
    </w:p>
    <w:p>
      <w:r>
        <w:t>Mit dem vorliegenden Entscheid wird das vom Beschwerdeführer gestellte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