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1B_192/2016 vom 21. Juni 2016</w:t>
      </w:r>
    </w:p>
    <w:p>
      <w:r>
        <w:t>Bundesgericht, 2016-06-21, FR</w:t>
      </w:r>
    </w:p>
    <w:p>
      <w:r>
        <w:rPr>
          <w:b/>
        </w:rPr>
        <w:t xml:space="preserve">Quelle: </w:t>
      </w:r>
      <w:r>
        <w:t>https://mcp.opencaselaw.ch/entscheid/bger_1B_192_2016</w:t>
      </w:r>
    </w:p>
    <w:p>
      <w:r>
        <w:t>FR: TF 1B_192/2016 du 21 juin 2016</w:t>
      </w:r>
    </w:p>
    <w:p>
      <w:r>
        <w:t>IT: TF 1B_192/2016 del 21 giugno 2016</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à l'échéance du délai fixé à l' art. 100 al. 1 LTF contre une décision prise en dernière instance cantonale ( art. 233 CPP et 80 LTF). L'arrêt cantonal confirme le refus de libération de la détention provisoire du recourant, qui a qualité pour agir (art. 81 al. 1 let. a et b ch. 1 LTF). Les conclusions présentées sont recevables au regard de l' art. 107 al. 2 LTF .</w:t>
      </w:r>
    </w:p>
    <w:p>
      <w:r>
        <w:t>Il y a ainsi lieu d'entrer en matière sur le recours.</w:t>
      </w:r>
    </w:p>
    <w:p>
      <w:r>
        <w:rPr>
          <w:b/>
        </w:rPr>
        <w:t>E. 2</w:t>
      </w:r>
    </w:p>
    <w:p>
      <w:r>
        <w:t>Le recourant ne conteste pas les faits qui lui sont reprochés. Il considère en revanche qu'il n'encourt aucune peine. Vu le concours réel rétrospectif en cause, il serait seulement passible d'une peine complémentaire. Or, compte tenu du maximum légal de la peine privative de liberté, la peine complémentaire ne pourrait être qu'égale à zéro. Dans ces circonstances, la détention provisoire, puis pour des motifs de sûreté serait illicite.</w:t>
      </w:r>
    </w:p>
    <w:p>
      <w:r>
        <w:rPr>
          <w:b/>
        </w:rPr>
        <w:t>E. 2.1</w:t>
      </w:r>
    </w:p>
    <w:p>
      <w:r>
        <w:t>Selon l' art. 49 al. 2 CP , lorsque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déjà prononcée ( ATF 132 IV 102 consid. 8.3 p. 105; 129 IV 113 consid. 1.1 p. 115</w:t>
      </w:r>
    </w:p>
    <w:p>
      <w:r>
        <w:t>i.f. ). La peine hypothétique est déterminée conformément à l' art. 42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 art. 49 al. 2 CP est en principe applicable en présence d'un jugement de condamnation prononcé à l'étranger, à la condition qu'il entre par la suite en force ( ATF 132 IV 102 consid. 8.3 p. 105; 127 IV 106 consid. 2c p. 108 s.).</w:t>
      </w:r>
    </w:p>
    <w:p>
      <w:r>
        <w:t>En l'occurrence, recourant et autorités s'accordent sur le fait que la peine hypothétique ne pourrait pas dépasser 20 ans, à savoir le maximum légal de la peine privative de liberté ( art. 40 CP ).</w:t>
      </w:r>
    </w:p>
    <w:p>
      <w:r>
        <w:rPr>
          <w:b/>
        </w:rPr>
        <w:t>E. 2.2</w:t>
      </w:r>
    </w:p>
    <w:p>
      <w:r>
        <w:t>Il est établi que le recourant a été condamné, par des jugements entrés en force, à des peines totalisant 26 ans principalement pour des brigandages commis après les infractions en cause en l'espèce. Il est également établi que les peines prononcées par les autorités françaises et belges, soit 19 ans de réclusion (respectivement 9 ans et 8 + 2 ans), ont été exécutées.</w:t>
      </w:r>
    </w:p>
    <w:p>
      <w:r>
        <w:t>La cour cantonale a toutefois considéré qu'il était décisif de savoir si les autorités judiciaires allemandes mettront à exécution le solde de la peine auquel le recourant a été condamné en Allemagne. On comprend de la motivation de l'arrêt attaqué que, constatant que la France avait refusé la confusion des peines belges, allemande et française, au motif que, en vertu de l'art. 3 ch. 3 de la décision-cadre 2008/675/JAI du Conseil de l'UE du 24 juillet 2008 relative à la prise en compte des décisions de condamnation entre les États membres de l'Union européenne à l'occasion d'une nouvelle procédure pénale (JO L 220 du 15 août 2008 p. 32), "une telle confusion mettrait en échec le droit des autorités judiciaires allemandes et belges de faire exécuter sur leur territoire, dans les conditions fixées par leur loi interne, la décision de condamnation émanant de leurs juridictions nationales", la cour cantonale a estimé qu'il subsistait un doute sur la mise en oeuvre de la peine en Allemagne. L'instruction n'étant pas terminée, il se justifiait de maintenir le recourant en détention provisoire.</w:t>
      </w:r>
    </w:p>
    <w:p>
      <w:r>
        <w:rPr>
          <w:b/>
        </w:rPr>
        <w:t>E. 2.3</w:t>
      </w:r>
    </w:p>
    <w:p>
      <w:r>
        <w:t>Il est a priori douteux que le refus des autorités françaises de prononcer la confusion puisse avoir une incidence sur l'exécution effective de la peine allemande, la condamnation prononcée dans cet état tenant probablement déjà compte de la condamnation française, antérieure. Il est en outre également douteux que, lors de l'application de l' art. 49 al. 2 CP , il faille se référer aux modalités d'exécution de la peine - en l'occurrence la peine allemande - plutôt qu'à la condamnation elle-même. En effet, l' art. 49 al. 2 CP se réfère expressément aux condamnations, de sorte qu'en l'absence de circonstances justifiant une interprétation particulière de la disposition, on ne voit pas, a priori, pour quels motifs il faudrait se référer à l'exécution effective de la peine.</w:t>
      </w:r>
    </w:p>
    <w:p>
      <w:r>
        <w:t>Cela étant, compte tenu de la proximité de l'audience de jugement, fixée au 1er juillet 2016, ces questions, complexes, qui nécessitent notamment une interprétation du droit communautaire, ne sauraient être tranchées par le juge de la détention. Il appartiendra en effet au juge du fond de déterminer si, dans le contexte particulier de condamnations prononcées à l'étranger, certaines devraient ne pas être prises en considération dans leur pleine mesure lors de l'application de l' art. 49 al. 2 CP .</w:t>
      </w:r>
    </w:p>
    <w:p>
      <w:r>
        <w:t>Au stade de l'examen des conditions de la détention provisoire et pour des motifs de sûreté, il y a lieu de constater que, sur le plan interne, le recourant encourt effectivement une peine hypothétique pouvant aller jusqu'à 20 ans de privation de liberté. Les peines prononcées à l'étranger dépassent 19 ans et semblent aller jusqu'à 26 ans. Bien que cela laisse peu de place à une peine complémentaire, il n'est pas exclu que les circonstances très particulières du cas d'espèce doivent donner lieu à une prise en considération nuancée des autres condamnations. Le tribunal constate en outre que la durée effective de l'exécution des peines belges et française (d'un total de 19 ans) est de 12 ans.</w:t>
      </w:r>
    </w:p>
    <w:p>
      <w:r>
        <w:t>Aussi, vu par ailleurs le nombre et la nature des infractions en cause, il n'est pas manifeste, en l'état, que la détention provisoire du recourant - qui, s'il devait être libéré par les autorités suisses, serait vraisemblablement extradé vers l'Allemagne pour une nouvelle exécution de peine - soit contraire à l' art. 49 al. 2 CP . Il n'apparaît en effet pas que la détention provisoire puis à titre de sûreté conduise à ce que le recourant serait puni plus sévèrement que si les diverses infractions avaient fait l'objet d'un seul jugement en Suisse.</w:t>
      </w:r>
    </w:p>
    <w:p>
      <w:r>
        <w:rPr>
          <w:b/>
        </w:rPr>
        <w:t>E. 3</w:t>
      </w:r>
    </w:p>
    <w:p>
      <w:r>
        <w:t>Il résulte de ce qui précède que le recours doit être rejeté.</w:t>
      </w:r>
    </w:p>
    <w:p>
      <w:r>
        <w:t>Le recourant a demandé l'assistance judiciaire et les conditions en paraissent réunies ( art. 64 al. 1 LTF ). Il y a lieu de désigner Me Delphine Jobin en qualité d'avocate d'office pour la présente procédure fédérale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