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191/2020 vom 26. August 2020</w:t>
      </w:r>
    </w:p>
    <w:p>
      <w:r>
        <w:t>Bundesgericht, 2020-08-26, FR</w:t>
      </w:r>
    </w:p>
    <w:p>
      <w:r>
        <w:rPr>
          <w:b/>
        </w:rPr>
        <w:t xml:space="preserve">Quelle: </w:t>
      </w:r>
      <w:r>
        <w:t>https://mcp.opencaselaw.ch/entscheid/bger_1B_191_2020</w:t>
      </w:r>
    </w:p>
    <w:p>
      <w:r>
        <w:t>FR: TF 1B 191/2020 du 26 août 2020</w:t>
      </w:r>
    </w:p>
    <w:p>
      <w:r>
        <w:t>IT: TF 1B 191/2020 del 26 agosto 2020</w:t>
      </w:r>
    </w:p>
    <w:p>
      <w:pPr>
        <w:pStyle w:val="Heading2"/>
      </w:pPr>
      <w:r>
        <w:t>Regeste</w:t>
      </w:r>
    </w:p>
    <w:p>
      <w:r>
        <w:t>Procédure pénale; récusation; interdiction de représentation | Questions de compétences, garantie du juge du domicile et du ...</w:t>
      </w:r>
    </w:p>
    <w:p>
      <w:pPr>
        <w:pStyle w:val="Heading2"/>
      </w:pPr>
      <w:r>
        <w:t>Erwägungen</w:t>
      </w:r>
    </w:p>
    <w:p>
      <w:r>
        <w:rPr>
          <w:b/>
        </w:rPr>
        <w:t>E. 1</w:t>
      </w:r>
    </w:p>
    <w:p>
      <w:r>
        <w:t>Le recours est dirigé contre une décision prise en dernière instance cantonale ( art. 80 LTF ), interdisant à la recourante B.________ de représenter la recourante A.________ dans la procédure pénale l'opposant à D.________ et rejetant la demande de récusation formée contre la Procureure intimée. Le recours est donc en principe recevable comme un recours en matière pénale au sens des art. 78 ss LTF (arrêts 1B_20/2017 du 23 février 2017 consid. 1.1; 1B_420/2011 du 21 novembre 2011 consid. 1.1). Du point de vue de la recourante A.________ - partie plaignante -, le prononcé relatif à une interdiction de procéder constitue une décision incidente susceptible de lui causer un préjudice irréparable ( art. 93 al. 1 let. a LTF ). En effet, ce prononcé la prive définitivement de pouvoir choisir l'avocate B.________ pour assurer la défense de ses intérêts ( art. 127 al. 1 CPP ; arrêt 1B_20/2017 du 23 février 2017 consid. 1.1). Le recours de l'avocate est également recevable, la décision attaquée présentant, pour elle, un caractère final ( art. 90 LTF ; arrêts 1B_354/2016 du 1er novembre 2016 consid. 1; 1B_226/2016 du 15 septembre 2016 consid. 1). Enfin, la recourante A.________ a également qualité pour recourir contre l'arrêt entrepris en tant qu'il rejette la demande de récusation qu'elle a formulée à l'encontre de la magistrate intimée ( art. 92 al. 1 LTF ). Les autres conditions de recevabilité étant remplies, il y a lieu d'entrer en matière sur le fond.</w:t>
      </w:r>
    </w:p>
    <w:p>
      <w:r>
        <w:rPr>
          <w:b/>
        </w:rPr>
        <w:t>E. 2</w:t>
      </w:r>
    </w:p>
    <w:p>
      <w:r>
        <w:t>Invoquant une violation des art. 59 al. 1 let. b, 61 et 62 CPP, les recourantes affirment que la Chambre des recours pénale n'était pas compétente pour prononcer l'interdiction de postuler à l'encontre de l'avocate recourante. Elles soutiennent que cette compétence appartenait au seul Ministère public qui assumait la direction de la procédure, conformément à l' art. 61 let. a CPP , et qui à ce titre était habilité à ordonner les mesures nécessaires au bon déroulement et à la légalité de la procédure ( art. 62 al. 1 CPP ). En l'espèce, la Chambre des recours pénale était saisie d'une demande de récusation formée par la partie plaignante à l'encontre de la Procureure intimée. Il n'est pas contesté que la Chambre des recours pénale était compétente pour se prononcer sur cette demande de récusation (cf. art. 20 et 59 al. 1 let. b CPP ). En revanche, il appartient en principe à l'autorité en charge de la procédure de statuer sur la capacité de postuler d'un mandataire professionnel au regard notamment de la LLCA dès lors que cette question relève de la légalité de la procédure et de son bon déroulement (cf. art. 61 et 62 CPP ), soit in casu le Ministère public (cf. ATF 141 IV 257 consid. 2.2 p. 261; arrêts 1B_149/2013 du 5 septembre 2013 consid. 2.4.2; 1B_226/2016 du 15 septembre 2016 consid. 2; cf. également ATF 138 II 162 consid. 2.5.1 p. 167). Cela étant, force est de constater que la question de la récusation de la Procureure intimée et celle de l'interdiction de postuler de l'avocate d ans la procédure pénale litigieuse sont étroitement liées puisqu'elles reposent sur les mêmes motifs et l'une excluant l'autre (cf. consid. 4.4). Compte tenu de cette circonstance et du fait que la Chambre des recours pénale aurait aussi été compétente pour statuer sur recours sur la question de l'interdiction de postuler de l'avocate, cette autorité pouvait se saisir de cette question dans le cadre de la procédure relative à la demande de récusation.</w:t>
      </w:r>
    </w:p>
    <w:p>
      <w:r>
        <w:rPr>
          <w:b/>
        </w:rPr>
        <w:t>E. 3</w:t>
      </w:r>
    </w:p>
    <w:p>
      <w:r>
        <w:t>Les recourantes se plaignent ensuite d'arbitraire dans l'établissement des faits et l'appréciation des preuves.</w:t>
      </w:r>
    </w:p>
    <w:p>
      <w:r>
        <w:rPr>
          <w:b/>
        </w:rPr>
        <w:t>E. 3.1</w:t>
      </w:r>
    </w:p>
    <w:p>
      <w:r>
        <w:t>Le Tribunal fédéral statue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w:t>
      </w:r>
    </w:p>
    <w:p>
      <w:r>
        <w:rPr>
          <w:b/>
        </w:rPr>
        <w:t>E. 3.2</w:t>
      </w:r>
    </w:p>
    <w:p>
      <w:r>
        <w:t>En l'espèce, les recourantes font grief à l'instance précédente d'avoir arbitrairement omis de mentionner l'ordonnance du 2 août 2019 du Tribunal fédéral accordant l'effet suspensif au recours déposé le 11 juillet 2019 (cause 1B_348/2019); cette ordonnance démontrerait, selon elles, que l'instance précédente aurait à tort considéré que le fait que la capacité de postuler de l'avocate était en cause aurait empêché de fait tout avancement de l'enquête pénale jusqu'au 14 novembre 2019, date à laquelle la procureure a cité le prévenu à une audience fixée le 9 mars 2020. Les recourantes reprochent en outre à l'instance précédente de ne pas avoir non plus mentionné les déterminations de la Procureure datées du 29 juillet 2019, lesquelles traduiraient une apparence d'inimitié de cette dernière envers l'avocate recourante. Contrairement à ce que soutiennent les recourantes, ces faits ne sont pas susceptibles d'influer sur le sort de la cause. En effet, la question de savoir si l'on peut concrètement reprocher à l'avocate recourante d'avoir ralenti le cours de la procédure pénale n'apparaît pas déterminant pour statuer sur la question décisive de sa capacité de plaider dans le cas d'espèce. Par ailleurs, l'existence d'une relation conflictuelle grave entre l'avocate recourante et la Procureure intimée n'a pas été contestée par les recourantes (cf. consid. 4.2 ci-dessous). Au surplus, la Cour de céans ne tiendra pas compte, en tant qu'ils ne ressortent pas de l'arrêt attaqué, des faits allégués de manière appellatoire dans le mémoire de recours. Le grief des recourantes peut dès lors être écarté.</w:t>
      </w:r>
    </w:p>
    <w:p>
      <w:r>
        <w:rPr>
          <w:b/>
        </w:rPr>
        <w:t>E. 4</w:t>
      </w:r>
    </w:p>
    <w:p>
      <w:r>
        <w:t>Les recourantes se plaignent ensuite d'une violation des art. 56 ss CPP et 12 let. a à c LLCA. Elles affirment notamment que l' art. 56 let . f CPP constituerait une lex specialis par rapport à la LLCA, de sorte que l'instance précédente aurait dû examiner le cas d'espèce sous l'angle de cette disposition du CPP, et non pas de la LLCA.</w:t>
      </w:r>
    </w:p>
    <w:p>
      <w:r>
        <w:rPr>
          <w:b/>
        </w:rPr>
        <w:t>E. 4.1.1</w:t>
      </w:r>
    </w:p>
    <w:p>
      <w:r>
        <w:t>Un magistrat est récusable, selon l' art. 56 let . f CPP,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143 IV 69 consid. 3.2 p. 74 et les réf. cit.).</w:t>
      </w:r>
    </w:p>
    <w:p>
      <w:r>
        <w:rPr>
          <w:b/>
        </w:rPr>
        <w:t>E. 4.1.2</w:t>
      </w:r>
    </w:p>
    <w:p>
      <w:r>
        <w:t>L'autorité en charge de la procédure statue d'office et en tout temps sur la capacité de postuler d'un mandataire professionnel ( ATF 141 IV 257 consid. 2.2 p. 261). En effet, l'interdiction de postuler dans un cas concret - à distinguer d'une suspension provisoire ou définitive - ne relève en principe pas du droit disciplinaire, mais du contrôle du pouvoir de postuler de l'avocat ( ATF 138 II 162 consid. 2.5.1 p. 168; arrêt 1B_226/2016 du 15 septembre 2016 consid. 2). Dans les règles relatives aux conseils juridiques, l' art. 127 al. 4 CPP réserve la législation sur les avocats. L' art. 12 LLCA énonce les règles professionnelles auxquelles l'avocat est soumis. Selon l' art. 12 let. a LLCA , il doit exercer sa profession avec soin et diligence. Cette disposition constitue une clause générale qui permet d'exiger de l'avocat qu'il se comporte correctement dans l'exercice de sa profession. Sa portée n'est pas limitée aux rapports professionnels de l'avocat avec ses clients, mais comprend aussi les relations avec les confrères et les autorités ( ATF 144 II 473 consid. 4.1 p. 476 et les réf. cit.). L' art. 12 let. b LLCA prévoit notamment que l'avocat exerce son activité professionnelle en toute indépendance. L'indépendance est un principe essentiel de la profession d'avocat et doit être garantie tant à l'égard du juge et des parties, que du client (cf. ATF 145 II 229 consid. 6.1 p. 237; arrêts 2C_889/2008 du 21 juillet 2009 consid. 3.1.2; 2A.293/2003 du 9 mars 2004 consid. 2). Celui qui s'adresse à un avocat doit pouvoir admettre que celui-ci est libre de tout lien, de quelque nature que ce soit et à l'égard de qui que soit, qui pourrait restreindre sa capacité de défendre les intérêts de son client, dans l'accomplissement du mandat que ce dernier lui a confié (arrêts 2C_889/2008 du 21 juillet 2009 consid. 3.1.2; 2A.293/2003 du 9 mars 2004 consid. 2). Quant à l' art. 12 let . c LLCA, il prescrit à l'avocat d'éviter tout conflit entre les intérêts de son client et ceux des personnes avec lesquelles il est en relation sur le plan professionnel ou privé. Même si cela ne ressort pas explicitement du texte légal, l' art. 12 let . c LLCA impose aussi d'éviter les conflits entre les propres intérêts de l'avocat et ceux de se s clients (arrêts 1B_149/2013 du 5 septembre 2013 consid. 2.4.2; 2C_889/2008 du 21 juillet 2009 consid. 3.1.3). Un avocat ne doit donc pas accepter un mandat, respectivement s'en dessaisir, quand les intérêts du client entrent en collision avec ses propres intérêts (cf. WALTER FELLMANN, Anwaltsrecht, 2éd., Berne 2017, n. 361 p. 158 s.; MICHEL VALTICOS, in Commentaire romand, Loi sur les avocats, Valticos/ Reiser/Chappuis [éd.], 2010, n. 179 ad art. 12 LLCA ). Ainsi, selon la doctrine, en cas de conflit personnel d'une certaine importance avec un confrère qu'il sait assister la partie adverse, un avocat ne doit pas accepter le mandat, dès lors qu'il sait qu'il ne pourra pas le remplir en toute indépendance et sans conflit d'intérêts (cf. FELLMANN, op. cit., n. 363 p. 160; cf. arrêt 2A.168/2005 du 6 septembre 2005 consid. 2.2.3). L'interdiction de plaider en cas de conflit d'intérêts se trouve en lien avec la clause générale de l' art. 12 let. a LLCA précité, selon laquelle l'avocat exerce sa profession avec soin et diligence, de même qu'avec l'obligation d'indépendance rappelée à l' art. 12 let. b LLCA ( ATF 145 IV 218 consid. 2.1 p. 222 et les réf. cit.). 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 ATF 145 IV 218 consid. 2.1; 141 IV 257 consid. 2.1; arrêts 1B_209/2019 du 19 septembre 2019 consid. 4.4.1). Il faut éviter toute situation potentiellement susceptible d'entraîner des conflits d'intérêts. Un risque purement abstrait ou théorique ne suffit pas; le risque doit être concret. Il n'est toutefois pas nécessaire que le danger concret se soit réalisé et que l'avocat ait déjà exécuté son mandat de façon critiquable ou en défaveur de son client ( ATF 145 IV 218 consid. 2.1 p. 223; arrêts 1B_59/2018 du 31 mai 2018 consid. 2.4; 1B_20/2017 du 23 février 2017 consid. 3.1). Dès que le conflit d'intérêts survient, l'avocat doit mettre fin à la représentation ( ATF 145 IV 218 consid. 2.1 p. 223 et les réf. cit.). Celui qui, en violation des obligations énoncées à l' art. 12 LLCA , accepte ou poursuit la défense alors qu'il existe un tel risque de conflit doit se voir dénier par l'autorité la capacité de postuler. L'interdiction de plaider est, en effet, la conséquence logique du constat de l'existence d'un tel conflit ( ATF 138 II 162 consid. 2.5.1 p. 166 s.).</w:t>
      </w:r>
    </w:p>
    <w:p>
      <w:r>
        <w:rPr>
          <w:b/>
        </w:rPr>
        <w:t>E. 4.2</w:t>
      </w:r>
    </w:p>
    <w:p>
      <w:r>
        <w:t>Dans le cas d'espèce, la cour cantonale a constaté que la Procureure C.________ était l'autorité investie de la direction de la procédure et qu'en cette qualité elle avait conduit la procédure préliminaire dès le 27 septembre 2018 et rendu l'ordonnance de non-entrée en matière du 25 février 2019. La plaignante A.________ n'était alors pas assistée par Me B.________. Cette dernière a, selon la cour cantonale, admis avoir pris connaissance de l'ordonnance de non-entrée en matière le 26 ou le 27 février 2019 par l'intermédiaire de sa cliente; elle pouvait ainsi objectivement savoir que la Procureure C.________ était en charge de l'enquête puisque cet élément découlait de l'ordonnance précitée. L'instance précédente a considéré que, dans ces circonstances, la magistrate intimée ne pouvait être tenue de se récuser, d'une part, parce que le prétendu motif de récusation était survenu après la reddition de l'ordonnance de non-entrée en matière et n'avait donc pas pu affecter son impartialité ou son indépendance et, d'autre part, parce que ce motif de récusation était en réalité personnel à l'avocate en question puisqu'il avait trait à un grave conflit qui préexistait entre cette dernière - et les avocats de son étude - et ladite procureure. Pour la cour cantonale, les circonstances invoquées à l'appui de la demande de récusation devaient non seulement conduire Me B.________ à informer sa cliente du grave conflit opposant les membres de son étude à cette procureure, mais également à résilier le mandat qu'elle venait d'accepter. Il était manifeste qu'au vu de ce grave conflit, qui l'a amenée notamment à déposer personnellement une plainte pénale et un complément de plainte pénale contre cette magistrate, l'avocate B.________ ne pouvait ni ne devait poursuivre un tel mandat. La cour cantonale a en outre relevé qu'en raison du fait que la capacité de postuler de l'avocate était en jeu, l'enquête n'avait pas pu concrètement avancer, au détriment en particulier de sa cliente. Dans ces conditions, il convenait, selon l'instance précédente, de tirer d'office les conséquences de la violation par Me B.________ de ses obligations de diligence et d'indépendance ainsi que de l'obligation d'éviter à sa cliente des conflits d'intérêts par son intermédiaire avec la procureure en charge de l'enquête, en lui déniant la capacité de postuler et en l'obligeant à renoncer à assister et représenter A.________ dans le cadre de la cause PE18.018974-CMS. Quant à la demande de récusation, la cour cantonale a considéré qu'elle était manifestement mal fondée puisqu'elle reposait sur des motifs qui n'existeraient pas si l'avocate B.________ n'avait pas poursuivi un mandat en violation de l'art. 12 let. a à c LLCA, et qui n'existaient plus dès lors que la capacité de postuler lui était déniée.</w:t>
      </w:r>
    </w:p>
    <w:p>
      <w:r>
        <w:rPr>
          <w:b/>
        </w:rPr>
        <w:t>E. 4.3</w:t>
      </w:r>
    </w:p>
    <w:p>
      <w:r>
        <w:t>Les recourantes critiquent en vain l'interdiction de postuler ordonnée à l'encontre de l'avocate B.________. En effet, selon les constatations de fait des juges cantonaux - dont le caractère arbitraire n'est pas allégué par les recourantes et qui lient le Tribunal fédéral (cf. consid. 2.1 ci-dessus) -, un " grave conflit " oppose l'avocate B.________ et les membres de la même étude à la procureure C.________, conflit remontant à 2017 et ayant conduit l'avocate B.________ et les membres de cette étude à déposer plusieurs plaintes pénales (dont une plainte à titre personnel en 2017 et son complément en mars 2018) et demandes de récusation à l'encontre de la magistrate précitée. Or, en l'espèce, après avoir pris connaissance de l'ordonnance de non-entrée en matière, l'avocate B.________ s'est manifestée, par courrier du 27 février 2019, auprès de la direction de la procédure, à savoir la Procureure C.________, pour l'informer qu'elle était chargée d'assurer la défense de la plaignante, produisant à cet effet une procuration datée du 25 février 2019. Ainsi, en date du 27 février 2019 au plus tard, cette avocate savait que la Procureure C.________ était en charge du dossier. Compte tenu du fait que la Procureure intimée dirigeait l'instruction de la cause depuis le mois de septembre 2018, il appartenait à l'avocate recourante de renoncer à ce mandat lorsqu'elle a constaté l'identité de ladite procureure. Au vu des circonstances exceptionnelles et conflictuelles entourant les relations entre Me B.________ et la Procureure intimée, la première nommée ne pouvait pas ignorer qu'elle n'était pas en mesure d'assurer la défense des intérêts de sa cliente avec toute l'indépendance et l'objectivité nécessaires vis-à-vis de la magistrate intimée. En ne renonçant pas à ce mandat, l'avocate a contrevenu à ses obligations professionnelles énoncées à l'art. 12 let. a à c LLCA. Le fait que Me B.________ a défendu avec succès les droits de la plaignante en obtenant l'annulation de l'ordonnance de non-entrée en matière rendue par la Procureure intimée n'est pas déterminant dans ce contexte. Dans ces conditions, l'interdiction faite à l'avocate recourante d'assister et de représenter la plaignante dans la procédure pénale en cause est justifi ée. Contrairement à ce que soutiennent les recourantes, l' art. 56 let . f CPP relatif à la récusation ne constitue pas une loi spéciale par rapport à l' art. 12 LLCA . Elles méconnaissent d'ailleurs que l' art. 127 al. 4 CPP réserve expressément la législation sur les avocats, et donc les devoirs professionnels de l' art. 12 LLCA auxquels sont soumis les avocats. Admettre la solution préconisée par les recourantes permettrait le cas échéant à des parties mécontentes des choix procéduraux d'un procureur de mandater un avocat qui se trouve dans une relation conflictuelle personnelle importante avec ce magistrat pour obtenir ensuite sa récusation, laquelle doit en principe, selon une jurisprudence constante, rester exceptionnelle. Un tel procédé abusif serait contraire au bon fonctionnement de la justice.</w:t>
      </w:r>
    </w:p>
    <w:p>
      <w:r>
        <w:rPr>
          <w:b/>
        </w:rPr>
        <w:t>E. 4.4</w:t>
      </w:r>
    </w:p>
    <w:p>
      <w:r>
        <w:t>Au vu de ce qui précède, le Tribunal cantonal n'a pas violé le droit fédéral en prononçant l'interdiction de postuler à l'encontre de l'avocate Me B.________ et ce grief peut être écarté. La demande de récusation devient dès lors sans objet puisqu'elle est fondée exclusivement sur des motifs ayant trait à la relation entre l'avocate recourante - et les membres de la même étude - et la magistrate intimée.</w:t>
      </w:r>
    </w:p>
    <w:p>
      <w:r>
        <w:rPr>
          <w:b/>
        </w:rPr>
        <w:t>E. 5</w:t>
      </w:r>
    </w:p>
    <w:p>
      <w:r>
        <w:t>Les recourants se prévalent en outre de restrictions disproportionnées (cf. art. 5 al. 2 et 36 Cst. ), s'agissant de la plaignante recourante, de son droit d'être défendue par l'avocat de son choix ( art. 6 ch. 3 let . c CEDH) et, s'agissant de Me B.________, de sa liberté économique ( art. 27 Cst. ) et de son droit de représentation en justice ( art. 4 LLCA ). Tels qu'ils sont soulevés, ces griefs n'ont toutefois pas de portée propre par rapport à celui en lien avec la capacité de postuler de l'avocate recourante, lequel a été examiné ci-dessus sous l'angle des art. 127 al. 4 CPP et 12 let. a à c LLCA (cf. consid. 4 supra; cf. arrêts 1B_209/2019 du 19 septembre 2019 consid. 5; 1A.223/2002 du 18 mars 2003 consid 2.5.1). Enfin, il sied de relever que l'avocate recourante n'a pas qualité pour invoquer les intérêts des autres membres de l'étude, qui seraient susceptibles d'être touchés par l'interdiction de postuler prononcée à son encontre.</w:t>
      </w:r>
    </w:p>
    <w:p>
      <w:r>
        <w:rPr>
          <w:b/>
        </w:rPr>
        <w:t>E. 6</w:t>
      </w:r>
    </w:p>
    <w:p>
      <w:r>
        <w:t>Il s'ensuit que le recours doit être rejeté, dans la mesure où il est recevable. Les recourantes, qui succombent, supportent solidairement les frais judiciaires ( art. 66 al. 1 LTF ). Il n'y a pas lieu d'attribuer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