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1B_191/2012 vom 3. August 2012</w:t>
      </w:r>
    </w:p>
    <w:p>
      <w:r>
        <w:t>Bundesgericht, 2012-08-03, DE</w:t>
      </w:r>
    </w:p>
    <w:p>
      <w:r>
        <w:rPr>
          <w:b/>
        </w:rPr>
        <w:t xml:space="preserve">Quelle: </w:t>
      </w:r>
      <w:r>
        <w:t>https://mcp.opencaselaw.ch/entscheid/bger_1B_191_2012</w:t>
      </w:r>
    </w:p>
    <w:p>
      <w:r>
        <w:t>FR: TF 1B_191/2012 du 3 août 2012</w:t>
      </w:r>
    </w:p>
    <w:p>
      <w:r>
        <w:t>IT: TF 1B_191/2012 del 3 agosto 2012</w:t>
      </w:r>
    </w:p>
    <w:p>
      <w:pPr>
        <w:pStyle w:val="Heading2"/>
      </w:pPr>
      <w:r>
        <w:t>Erwägungen</w:t>
      </w:r>
    </w:p>
    <w:p>
      <w:r>
        <w:rPr>
          <w:b/>
        </w:rPr>
        <w:t>E. 1</w:t>
      </w:r>
    </w:p>
    <w:p>
      <w:r>
        <w:t>Der Entscheid der Anklagekammer, mit dem die Nichtanhandnahme durch das Untersuchungsamt Altstätten bestätigt worden ist, ist ein kantonal letztinstanzlicher Entscheid in Strafsachen im Sinne von Art. 78 Abs. 1 und Art. 80 Abs. 1 BGG und kann grundsätzlich mit Beschwerde in Strafsachen angefochten werden.</w:t>
      </w:r>
    </w:p>
    <w:p>
      <w:r>
        <w:rPr>
          <w:b/>
        </w:rPr>
        <w:t>E. 2</w:t>
      </w:r>
    </w:p>
    <w:p>
      <w:r>
        <w:t>Zur Beschwerde in Strafsachen ist gemäss Art. 81 Abs. 1 lit. b BGG legitimiert, wer ein rechtlich geschütztes Interesse an der Aufhebung oder Änderung des angefochtenen Entscheids hat, insbesondere die Privatklägerschaft, wenn der angefochtene Entscheid sich auf die Beurteilung ihrer Zivilansprüche auswirken kann (Ziff. 5).</w:t>
      </w:r>
    </w:p>
    <w:p>
      <w:r>
        <w:t>Der Beschwerdeführer legt nicht dar, inwiefern sich der angefochtene Entscheid auf Zivilforderungen auswirken kann. Insoweit genügt die Beschwerdeschrift den Begründungsanforderungen von Art. 42 Abs. 2 BGG nicht. Es ist auch nicht ersichtlich, welche Zivilforderungen der Beschwerdeführer gegenüber dem Beschwerdegegner in einem Strafverfahren wegen der angezeigten Straftatbestände geltend machen könnte. Somit fehlt es an der Legitimation gemäss Art. 81 Abs. 1 lit. b Ziff. 5 BGG.</w:t>
      </w:r>
    </w:p>
    <w:p>
      <w:r>
        <w:rPr>
          <w:b/>
        </w:rPr>
        <w:t>E. 3</w:t>
      </w:r>
    </w:p>
    <w:p>
      <w:r>
        <w:t>Ungeachtet seiner Legitimation in der Sache selber ist der Beschwerdeführer berechtigt, eine Verletzung seiner Parteirechte zu rügen, die ihm nach dem Verfahrensrecht, der Bundesverfassung oder der EMRK zustehen und deren Missachtung auf eine formelle Rechtsverweigerung hinausläuft. Zulässig sind Rügen, die formeller Natur sind und von der Prüfung der Sache getrennt werden können (vgl. BGE 136 IV 29 E. 1.9 S. 40; 136 IV 41 E. 1.4 S. 44, je mit Hinweisen).</w:t>
      </w:r>
    </w:p>
    <w:p>
      <w:r>
        <w:rPr>
          <w:b/>
        </w:rPr>
        <w:t>E. 3.1</w:t>
      </w:r>
    </w:p>
    <w:p>
      <w:r>
        <w:t>Zur Hauptsache macht der Beschwerdeführer geltend, die Nichtanhandnahme sei mit Art. 3 EMRK und den daraus abgeleiteten verfahrensrechtlichen Ansprüchen nicht vereinbar und stehe im Widerspruch zur bundesgerichtlichen Rechtsprechung ( BGE 131 I 455 ).</w:t>
      </w:r>
    </w:p>
    <w:p>
      <w:r>
        <w:t>Nach Art. 10 Abs. 3 BV ist Folter und jede andere Art grausamer, unmenschlicher oder erniedrigender Behandlung verboten. Dieselbe Grundrechtsgarantie ist in Art. 3 EMRK enthalten. Die Rechtsprechung anerkennt gestützt auf Art. 10 Abs. 3 BV , Art. 7 UNO-Pakt II , Art. 3 und 13 EMRK sowie Art. 13 des UN-Übereinkommens gegen Folter und andere grausame, unmenschliche oder erniedrigende Behandlung oder Strafe vom 10. Dezember 1984 (SR 0.105) einen Anspruch des von solcher Behandlung Betroffenen auf wirksamen Rechtsschutz (vgl. BGE 131 I 455 E. 1.2.5 S. 462 f.; Urteile des Bundesgerichts 1B_70/2011 vom 11. Mai 2011 E. 2.2.5, in: EuGRZ 2011 619; 1B_10/2012 vom 29. März 2012 E. 1.2.3). In diesem Sinne hat Anspruch auf eine wirksame und vertiefte amtliche Untersuchung, wer in vertretbarer Weise behauptet, von einem Polizeibeamten erniedrigend behandelt worden zu sein. Kann sich der Betroffene auf Art. 3 EMRK berufen, verschafft ihm der prozessuale Teilgehalt dieser Bestimmung ein rechtlich geschütztes Interesse an der Aufhebung eines Entscheids, mit dem die Eröffnung einer Strafuntersuchung gegen einen Polizeibeamten abgelehnt wird, die Untersuchung eingestellt wird oder ein Freispruch ergeht (Urteile 6B_364/2011 vom 24. Oktober 2011; 6B_274/2009 vom 16. Februar 2010). Dem Betroffenen steht somit ein umfassender Rechtsschutz zur Verfügung.</w:t>
      </w:r>
    </w:p>
    <w:p>
      <w:r>
        <w:t>Mit seiner Strafanzeige gegen Dr. med. Y.________ wegen eines falschen Gutachtens vermag der Beschwerdeführer nicht in vertretbarer Weise zu behaupten, grausam, erniedrigend oder unmenschlich behandelt worden zu sein. Es ist nicht ersichtlich, wie im Zusammenhang mit der Erstellung eines Gutachtens die entsprechenden Verbote verletzt worden sein sollen. Der Beschwerdeführer kann sich daher nicht auf die prozessualen Teilgehalte der entsprechenden Grundrechtsgarantien berufen. Er übersieht, dass bei dieser Sachlage das von Art. 310 StPO vorgesehene Institut der Nichtanhandnahme mit den angerufenen Grundrechtsgarantien gemäss EMRK vereinbar ist. Das Verfahren steht auch nicht im Widerspruch zur UN-Folterkonvention (vgl. hierzu die Verfahren 1C_69/2012 und 1C_247/2012).</w:t>
      </w:r>
    </w:p>
    <w:p>
      <w:r>
        <w:rPr>
          <w:b/>
        </w:rPr>
        <w:t>E. 3.2</w:t>
      </w:r>
    </w:p>
    <w:p>
      <w:r>
        <w:t>Soweit der Beschwerdeführer auf ein nicht näher belegtes Verfahren wegen fürsorgerischem Freiheitsentzug Bezug nimmt, ist mangels hinreichender Begründung auf die Beschwerde nicht einzutreten.</w:t>
      </w:r>
    </w:p>
    <w:p>
      <w:r>
        <w:rPr>
          <w:b/>
        </w:rPr>
        <w:t>E. 3.3</w:t>
      </w:r>
    </w:p>
    <w:p>
      <w:r>
        <w:t>Schliesslich legt der Beschwerdeführer eine angebliche Gehörsverletzung im Verfahren vor dem Untersuchungsamt Altstätten nicht dar, weshalb auch in diesem Punkt auf die Beschwerde nicht einzutreten ist.</w:t>
      </w:r>
    </w:p>
    <w:p>
      <w:r>
        <w:rPr>
          <w:b/>
        </w:rPr>
        <w:t>E. 4</w:t>
      </w:r>
    </w:p>
    <w:p>
      <w:r>
        <w:t>Demnach ist die Beschwerde abzuweisen, soweit darauf eingetreten werden kann. Da keine Vernehmlassungen eingeholt worden sind, erübrigt sich ein Schriftenwechsel von vornherein. Es rechtfertigt sich, auf Kosten zu verzichten, sodass das Gesuch um Gewährung der unentgeltlichen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