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191/2011 vom 17. Mai 2011</w:t>
      </w:r>
    </w:p>
    <w:p>
      <w:r>
        <w:t>Bundesgericht, 2011-05-17, DE</w:t>
      </w:r>
    </w:p>
    <w:p>
      <w:r>
        <w:rPr>
          <w:b/>
        </w:rPr>
        <w:t xml:space="preserve">Quelle: </w:t>
      </w:r>
      <w:r>
        <w:t>https://mcp.opencaselaw.ch/entscheid/bger_1B_191_2011</w:t>
      </w:r>
    </w:p>
    <w:p>
      <w:r>
        <w:t>FR: TF 1B 191/2011 du 17 mai 2011</w:t>
      </w:r>
    </w:p>
    <w:p>
      <w:r>
        <w:t>IT: TF 1B 191/2011 del 17 maggio 2011</w:t>
      </w:r>
    </w:p>
    <w:p>
      <w:pPr>
        <w:pStyle w:val="Heading2"/>
      </w:pPr>
      <w:r>
        <w:t>Regeste</w:t>
      </w:r>
    </w:p>
    <w:p>
      <w:r>
        <w:t>Gesuch um Entlassung aus dem vorzeitigen Strafvollzug | Strafprozess</w:t>
      </w:r>
    </w:p>
    <w:p>
      <w:pPr>
        <w:pStyle w:val="Heading2"/>
      </w:pPr>
      <w:r>
        <w:t>Erwägungen</w:t>
      </w:r>
    </w:p>
    <w:p>
      <w:r>
        <w:rPr>
          <w:b/>
        </w:rPr>
        <w:t>E. 1</w:t>
      </w:r>
    </w:p>
    <w:p>
      <w:r>
        <w:t>Die Beschwerde in Strafsachen nach den Art. 78 ff. BGG ist wie bereits beim ersten in dieser Sache ergangenen Entscheid gegeben. Dies gilt allerdings nur, soweit die Beschwerdebegründung in der Beschwerdeschrift selbst enthalten ist ( Art. 42 Abs. 2 BGG ; BGE 134 II 244 E. 2.1; 133 II 396 E. 3.2); der Verweis des Beschwerdeführers auf frühere Rechtsschriften (Beschwerde Ziff. 1 S. 1) ist unzulässig.</w:t>
      </w:r>
    </w:p>
    <w:p>
      <w:r>
        <w:rPr>
          <w:b/>
        </w:rPr>
        <w:t>E. 2</w:t>
      </w:r>
    </w:p>
    <w:p>
      <w:r>
        <w:t>Gemäss Art. 236 Abs. 1 StPO kann einer beschuldigten Person bewilligt werden, eine Freiheitsstrafe vorzeitig anzutreten, wenn der Stand des Verfahrens dies zulässt. Ersucht sie um Haftentlassung, kann sie gegen ihren Willen nur weiter in Haft behalten werden, wenn die Voraussetzungen für die Anordnung von Untersuchungs- oder Sicherheitshaft im Sinn von Art. 221 StPO erfüllt sind ( BGE 133 IV 187 E. 6.4 S. 199; 117 Ia 72 E. 1d S. 80; Pra 2007 Nr. 39 E. 3 S. 241). Es ist daher zu prüfen, ob im Fall des Beschwerdeführers, der sich im vorzeitigen Strafvollzug befindet und entlassen werden möchte, die Haftvoraussetzungen erfüllt sind. Nach Art. 221 Abs. 1 StPO kann Untersuchungshaft u.a. angeordnet werden, wenn der eines Vergehens oder Verbrechens Beschuldigte dringend verdächtig ist und Kollusionsgefahr besteht.</w:t>
      </w:r>
    </w:p>
    <w:p>
      <w:r>
        <w:rPr>
          <w:b/>
        </w:rPr>
        <w:t>E. 2.1</w:t>
      </w:r>
    </w:p>
    <w:p>
      <w:r>
        <w:t>Der Beschwerdeführer bestritt vor Obergericht, anders als noch im Haftprüfungsverfahren 1B_277/2010, welches vom Bundesgericht am 7. September 2010 beurteilt worden war, den dringenden Tatverdacht. Für das Obergericht ist dieser indessen trotz der zurückgezogenen Zugeständnisse nach wie vor gegeben. Der Beschwerdeführer kritisiert die entsprechenden Ausführungen des Obergerichts in seiner Beschwerdeschrift ans Bundesgericht nicht mehr. Damit bleibt der allgemeine Haftgrund des dringenden Tatverdachts unbestritten.</w:t>
      </w:r>
    </w:p>
    <w:p>
      <w:r>
        <w:rPr>
          <w:b/>
        </w:rPr>
        <w:t>E. 2.2</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 Das Obergericht hat Kollusionsgefahr insbesondere deshalb angenommen, weil der Beschwerdeführer seine früheren Aussagen widerrufen und an der Haftprüfungsverhandlung vor dem Zwangsmassnahmengericht angedeutet habe, er überlege sich die Nennung von Entlastungszeugen, müsse dazu aber zunächst mit diesen sprechen und sie fragen, ob sie aussagen würden. Ist aber mit der Nennung von Entlastungszeugen durch den Beschwerdeführer zu rechnen, so liegt es nahe, dass er versucht sein könnte, sie nicht nur zu bitten, auszusagen, sondern dies (wahrheitswidrig) auf eine für ihn günstige Weise zu tun. Es ist daher nicht zu beanstanden, dass das Obergericht Kollusionsgefahr annahm. Daran ändert nichts, dass der Beschwerdeführer nunmehr vorbringt, er werde keine Zeugen vorladen lassen, da die betreffenden Personen nichts mit der Justiz zu tun haben möchten. Diese Meinungsänderung des Beschwerdeführers erscheint eher darauf ausgerichtet, den Ausgang des Haftprüfungsverfahrens günstig zu beeinflussen. Nichts kann ihn daran hindern, sie doch noch zu nennen, und sie wären, vorbehältlich ihrer Zeugnisverweigerungsrechte, zur Aussage verpflichtet ( Art. 163 Abs. 2 StPO ). Es ist somit nicht zu beanstanden, dass das Obergericht im angefochtenen Entscheid Kollusionsgefahr bejahte. Nach der offenbar am 5. Mai 2011 durchgeführten Schlusseinvernahme wird Kollusionsgefahr jedoch nur noch dann bis zur Hauptverhandlung bejaht werden können, wenn konkrete Anhaltspunkte dafür bestehen, dass der Beschwerdeführer in Freiheit versuchen könnte, Beweismittel zu manipulieren, die geeignet wären, die gerichtliche Wahrheitsfindung zu beeinträchtigen.</w:t>
      </w:r>
    </w:p>
    <w:p>
      <w:r>
        <w:rPr>
          <w:b/>
        </w:rPr>
        <w:t>E. 3</w:t>
      </w:r>
    </w:p>
    <w:p>
      <w:r>
        <w:t>Die Beschwerde ist somit abzuweisen, soweit darauf einzutreten ist. Bei diesem Ausgang des Verfahrens würde der Beschwerdeführer an sich kostenpflichtig ( Art. 66 Abs. 1 BGG ). Er hat indessen ein Gesuch um unentgeltliche Rechtspflege und Verbeiständung gestellt, welches gutzuheissen ist, da seine Bedürftigkeit ausgewiesen scheint und seine Beschwerde nicht von vornherein aussichtslos war ( Art. 64 Abs. 1 und 2 BGG ). Die Bestellung eines unentgeltlichen Verteidigers entfällt indessen von vornherein, da der Beschwerdeführer selber, ohne Beihilfe eines Anwaltes prozessierte.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