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1B_190/2011 vom 7. Juli 2011</w:t>
      </w:r>
    </w:p>
    <w:p>
      <w:r>
        <w:t>Bundesgericht, 2011-07-07, FR</w:t>
      </w:r>
    </w:p>
    <w:p>
      <w:r>
        <w:rPr>
          <w:b/>
        </w:rPr>
        <w:t xml:space="preserve">Quelle: </w:t>
      </w:r>
      <w:r>
        <w:t>https://mcp.opencaselaw.ch/entscheid/bger_1B_190_2011</w:t>
      </w:r>
    </w:p>
    <w:p>
      <w:r>
        <w:t>FR: TF 1B_190/2011 du 7 juillet 2011</w:t>
      </w:r>
    </w:p>
    <w:p>
      <w:r>
        <w:t>IT: TF 1B_190/2011 del 7 luglio 2011</w:t>
      </w:r>
    </w:p>
    <w:p>
      <w:pPr>
        <w:pStyle w:val="Heading2"/>
      </w:pPr>
      <w:r>
        <w:t>Erwägungen</w:t>
      </w:r>
    </w:p>
    <w:p>
      <w:r>
        <w:rPr>
          <w:b/>
        </w:rPr>
        <w:t>E. 1</w:t>
      </w:r>
    </w:p>
    <w:p>
      <w:r>
        <w:t>Conformément à l' art. 54 al. 1 LTF , le présent arrêt est rendu en français, langue de l'arrêt attaqué.</w:t>
      </w:r>
    </w:p>
    <w:p>
      <w:r>
        <w:rPr>
          <w:b/>
        </w:rPr>
        <w:t>E. 1.1</w:t>
      </w:r>
    </w:p>
    <w:p>
      <w:r>
        <w:t>Selon l' art. 79 LTF , le recours en matière pénale est recevable contre les arrêts de la Cour des plaintes qui portent sur des mesures de contraintes. Les décisions relatives au maintien de saisies d'avoirs bancaires constituent de telles mesures (ATF 1B_208/2009 du 12 novembre 2009).</w:t>
      </w:r>
    </w:p>
    <w:p>
      <w:r>
        <w:rPr>
          <w:b/>
        </w:rPr>
        <w:t>E. 1.2</w:t>
      </w:r>
    </w:p>
    <w:p>
      <w:r>
        <w:t>En tant que titulaires des comptes saisis ayant participé à la procédure devant la Cour des plaintes, les recourants ont qualité pour agir ( art. 81 al. 1 LTF ).</w:t>
      </w:r>
    </w:p>
    <w:p>
      <w:r>
        <w:rPr>
          <w:b/>
        </w:rPr>
        <w:t>E. 1.3</w:t>
      </w:r>
    </w:p>
    <w:p>
      <w:r>
        <w:t>La décision par laquelle le juge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dans la mesure où le détenteur se trouve privé temporairement de la libre disposition des valeurs saisies ( ATF 126 I 97 consid. 1b p. 101; voir également ATF 128 I 129 consid. 1 p. 131; 89 I 185 consid. 4 p. 187 et les références). Le recours est dès lors recevable.</w:t>
      </w:r>
    </w:p>
    <w:p>
      <w:r>
        <w:rPr>
          <w:b/>
        </w:rPr>
        <w:t>E. 1.4</w:t>
      </w:r>
    </w:p>
    <w:p>
      <w:r>
        <w:t>La décision du JIF ayant été rendue avant le 1er janvier 2011, la Cour des plaintes a statué selon les dispositions de la PPF ( art. 453 al. 1 CPP ). Il en va de même à ce stade de la procédure.</w:t>
      </w:r>
    </w:p>
    <w:p>
      <w:r>
        <w:rPr>
          <w:b/>
        </w:rPr>
        <w:t>E. 1.5</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règle de manière définitive l'atteinte aux droits fondamentaux. Il ne s'agit dès lors pas d'une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Invoquant les art. 26 et 36 al. 3 Cst. , les recourants relèvent que les forts soupçons nécessaires à une mesure de séquestre devraient se renforcer au cours de l'instruction. L'autorité intimée s'est contentée d'examiner le rapport entre les valeurs bloquées et les agissements faisant l'objet de l'instruction; elle devait toutefois examiner l'existence d'une infraction préalable punissable. La Cour des plaintes a laissé indécise la question de l'existence d'un crime commis en Suisse, en relevant que l'infraction préalable pouvait avoir été commise à l'étranger; les recourants contestent l'existence d'une infraction principale commise et punissable en République tchèque, et estiment que l'examen de cette question ne devrait pas être laissé au seul juge du fond. Les recourants remettent en cause, sur ce point, l'avis de droit de l'Institut suisse de droit comparé ainsi que le rapport de l'expert financier du MPC.</w:t>
      </w:r>
    </w:p>
    <w:p>
      <w:r>
        <w:rPr>
          <w:b/>
        </w:rPr>
        <w:t>E. 2.1</w:t>
      </w:r>
    </w:p>
    <w:p>
      <w:r>
        <w:t>Les recourants perdent de vue que, selon la jurisprudence, la saisie d'un bien à titre de produit d'une infraction au cours d'une enquête pénale, est autorisée selon l' art. 65 PPF , lorsque l'origine délictueuse du bien est soupçonnée sur la base d'indices suffisants et qu'il devra vraisemblablement, dans la suite du procès, être restitué au lésé ou confisqué ( ATF 126 I 97 consid. 3b p. 104/105, consid. 3d/aa p. 107). Tant que l'instruction n'est pas achevée, une simple probabilité suffit car, à l'instar de toute mesure provisionnelle, la saisie se rapporte à des prétentions encore incertaines. Le juge doit pouvoir décider rapidement du séquestre provisoire; il n'a donc pas à résoudre des questions juridiques complexes ou à attendre d'être renseigné de manière exacte et complète sur les faits ( ATF 116 Ib 96 consid. 3a p. 99; 103 Ia 8 consid. III/1c p. 13; 101 Ia 325 consid. 2c p. 327). Le séquestre pénal doit ainsi être maintenu tant que subsiste une probabilité de confiscation (arrêt 1B_284/2010 du 8 décembre 2010 rendu dans le cadre de la même procédure pénale).</w:t>
      </w:r>
    </w:p>
    <w:p>
      <w:r>
        <w:rPr>
          <w:b/>
        </w:rPr>
        <w:t>E. 2.2</w:t>
      </w:r>
    </w:p>
    <w:p>
      <w:r>
        <w:t>Sur le vu de ces principes, l'argumentation de fond des recourants n'a pas sa place à ce stade de la procédure. Indépendamment d'une éventuelle escroquerie au préjudice de l'Etat lors du rachat des actions C.________, les détournements à grande échelle qui auraient été commis au détriment de la société seraient constitutifs, en droit suisse, de gestion déloyale de la part des dirigeants. Comme l'a déjà relevé le Tribunal fédéral, il est sans importance que des poursuites aient effectivement été ouvertes de ce chef en République tchèque (arrêt 1B_284/2010 du 8 décembre 2010, consid.3.4). De même, l'existence et le montant des dommages subis n'ont pas, à ce stade, à être définitivement établis; la prescription n'est par ailleurs pas acquise, s'agissant de l'infraction de blanchiment poursuivie en Suisse (idem).</w:t>
      </w:r>
    </w:p>
    <w:p>
      <w:r>
        <w:t>Il en résulte que la mesure de séquestre est fondée sur une vraisemblance suffisante et respecte les conditions posées à l' art. 69 PPF .</w:t>
      </w:r>
    </w:p>
    <w:p>
      <w:r>
        <w:rPr>
          <w:b/>
        </w:rPr>
        <w:t>E. 2.3</w:t>
      </w:r>
    </w:p>
    <w:p>
      <w:r>
        <w:t>Invoquant le principe de la proportionnalité, les recourants relèvent que l'ensemble des sommes bloquées dans le cadre de la procédure pénale (environ 700 millions de francs) dépasserait le montant du préjudice évalué par les autorités de poursuite. Il n'en demeure pas moins que les fonds détenus par les recourants (environ 175 millions de francs), qui proviennent directement et exclusivement du produit de la vente des actions C.________, apparaissent d'un montant inférieur au total des dommages tels qu'ils peuvent être actuellement estimés. Cette estimation est au demeurant provisoire, et l'autorité de poursuite doit tenir compte de la probabilité que l'ensemble des détournements au préjudice de C.________ n'ont pas encore été mis à jour (cf. arrêt 1B_284/2010 du 8 décembre 2010, consid. 4.2). La mesure de séquestre apparaît ainsi proportionnée dans son montant.</w:t>
      </w:r>
    </w:p>
    <w:p>
      <w:r>
        <w:t>Elle apparaît également admissible dans sa durée; les recourants ne prétendent pas, en effet, que l'enquête aurait connu des retards inadmissibles, compte tenu de la complexité de la cause et du nombre d'investigations nécessaires, en particulier à l'étranger. La Cour des plaintes a par ailleurs enjoint le MPC de clore l'enquête le plus rapidement possible afin de clarifier au plus vite les questions encore ouvertes.</w:t>
      </w:r>
    </w:p>
    <w:p>
      <w:r>
        <w:rPr>
          <w:b/>
        </w:rPr>
        <w:t>E. 3</w:t>
      </w:r>
    </w:p>
    <w:p>
      <w:r>
        <w:t>Sur le vu de ce qui précède, le recours doit être rejeté, aux frais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