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18/2012 vom 27. Januar 2012</w:t>
      </w:r>
    </w:p>
    <w:p>
      <w:r>
        <w:t>Bundesgericht, 2012-01-27, DE</w:t>
      </w:r>
    </w:p>
    <w:p>
      <w:r>
        <w:rPr>
          <w:b/>
        </w:rPr>
        <w:t xml:space="preserve">Quelle: </w:t>
      </w:r>
      <w:r>
        <w:t>https://mcp.opencaselaw.ch/entscheid/bger_1B_18_2012</w:t>
      </w:r>
    </w:p>
    <w:p>
      <w:r>
        <w:t>FR: TF 1B 18/2012 du 27 janvier 2012</w:t>
      </w:r>
    </w:p>
    <w:p>
      <w:r>
        <w:t>IT: TF 1B 18/2012 del 27 gennaio 2012</w:t>
      </w:r>
    </w:p>
    <w:p>
      <w:pPr>
        <w:pStyle w:val="Heading2"/>
      </w:pPr>
      <w:r>
        <w:t>Regeste</w:t>
      </w:r>
    </w:p>
    <w:p>
      <w:r>
        <w:t>Untersuchungshaft | Strafprozess</w:t>
      </w:r>
    </w:p>
    <w:p>
      <w:pPr>
        <w:pStyle w:val="Heading2"/>
      </w:pPr>
      <w:r>
        <w:t>Erwägungen</w:t>
      </w:r>
    </w:p>
    <w:p>
      <w:r>
        <w:rPr>
          <w:b/>
        </w:rPr>
        <w:t>E. 1.1</w:t>
      </w:r>
    </w:p>
    <w:p>
      <w:r>
        <w:t>Angefochten ist ein letztinstanzlicher kantonaler Entscheid in einer Strafsache, gegen den gemäss Art. 78 ff. BGG grundsätzlich die Beschwerde in Strafsachen offen steht. Beim Entscheid der Vorinstanz handelt es sich um einen selbstständig eröffneten Zwischenentscheid, der einen nicht wieder gutzumachenden Nachteil im Sinne von Art. 93 Abs. 1 lit. a BGG bewirken kann. Die Beschwerdeführerin nahm vor der Vorinstanz am Verfahren teil und hat als beschuldigte Person ein rechtlich geschütztes Interesse an der Aufhebung des angefochtenen Entscheids. Sie ist nach Art. 81 Abs. 1 BGG zur Beschwerde berechtigt. Das Bundesgericht kann nach Art. 107 Abs. 2 BGG bei Gutheissung der Beschwerde in der Sache selbst entscheiden. Der Antrag auf Entlassung aus dem vorzeitigen Strafvollzug ist somit zulässig. Auf die Beschwerde ist einzutreten.</w:t>
      </w:r>
    </w:p>
    <w:p>
      <w:r>
        <w:rPr>
          <w:b/>
        </w:rPr>
        <w:t>E. 1.2</w:t>
      </w:r>
    </w:p>
    <w:p>
      <w:r>
        <w:t>Der angefochtene Entscheid betrifft die Fortsetzung des vorzeitigen Strafvollzugs und damit eine Zwangsmassnahme im Sinne von Art. 196 ff. StPO . 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 Massnahmen im Sinne von Art. 98 BGG dar. Die nach dieser Bestimmung vorgeschriebene Beschränkung der Rügegründe ist demnach nicht anwendbar (vgl. Urteil 1B_277/2011 vom 28. Juni 2011 E. 1.2 mit Hinweisen).</w:t>
      </w:r>
    </w:p>
    <w:p>
      <w:r>
        <w:rPr>
          <w:b/>
        </w:rPr>
        <w:t>E. 1.3</w:t>
      </w:r>
    </w:p>
    <w:p>
      <w:r>
        <w:t>Das Bundesgericht legt seinem Urteil den Sachverhalt zugrunde, den die Vorinstanz festgestellt hat ( Art. 105 Abs. 1 BGG ). Die Sachverhaltsfeststellung kann nur gerügt werden, wenn sie willkürlich ( Art. 9 BV ) ist oder auf einer Rechtsverletzung im Sinne von Art. 95 BGG beruht und wenn die Behebung des Mangels für den Ausgang des Verfahrens entscheidend sein kann ( Art. 97 Abs. 1 BGG ; BGE 134 IV 36 E. 1.4.1 S. 39). Nach der ständigen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137 I 1 E. 2.4 S. 5 mit Hinweisen).</w:t>
      </w:r>
    </w:p>
    <w:p>
      <w:r>
        <w:rPr>
          <w:b/>
        </w:rPr>
        <w:t>E. 2</w:t>
      </w:r>
    </w:p>
    <w:p>
      <w:r>
        <w:t>Der vorzeitige Strafantritt ( Art. 236 StPO ) stellt seiner Natur nach eine strafprozessuale Zwangsmassnahme auf der Schwelle zwischen Strafverfolgung und Strafvollzug dar. Er soll ermöglichen, dass der beschuldigten Person bereits vor einer rechtskräftigen Urteilsfällung verbesserte Chancen auf Resozialisierung im Rahmen des Strafvollzugs geboten werden können ( BGE 133 I 270 E. 3.2.1 S. 277). Für eine Fortdauer der strafprozessualen Haft in den Modalitäten des vorzeitigen Strafvollzugs müssen weiterhin Haftgründe gegeben sein ( BGE 126 I 172 E. 3a S. 174). In Anwendung von Art. 221 Abs. 1 StPO ist vorzeitiger Strafvollzug wie Untersuchungs- und Sicherheitshaft nur zulässig, wenn die beschuldigte Person eines Verbrechens oder Vergehens dringend verdächtig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Haft ist auch zulässig, wenn ernsthaft zu befürchten ist, eine Person werde ihre Drohung, ein schweres Verbrechen auszuführen, wahrmachen ( Art. 221 Abs. 2 StPO ).</w:t>
      </w:r>
    </w:p>
    <w:p>
      <w:r>
        <w:rPr>
          <w:b/>
        </w:rPr>
        <w:t>E. 3</w:t>
      </w:r>
    </w:p>
    <w:p>
      <w:r>
        <w:t>Die Beschwerdeführerin bestreitet den dringenden Tatverdacht nicht. Sie rügt jedoch, die Vorinstanz habe den besonderen Haftgrund der Fluchtgefahr zu Unrecht bejaht.</w:t>
      </w:r>
    </w:p>
    <w:p>
      <w:r>
        <w:rPr>
          <w:b/>
        </w:rPr>
        <w:t>E. 3.1.1</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 BGE 125 I 60 E. 3a S. 62 mit Hinweisen). Miteinzubeziehen sind die familiären und sozialen Bindungen, die berufliche und finanzielle Situation und die Kontakte zum Ausland (Urteil 1B_424/2011 vom 14. September 2011 E. 4.1 mit Hinweis). Selbst bei einer befürchteten Reise in ein Land, welches die beschuldigte Person grundsätzlich an die Schweiz ausliefern bzw. stellvertretend verfolgen könnte, ist die Annahme von Fluchtgefahr nicht ausgeschlossen (Urteil 1B_422/2011 vom 6. September 2011 E. 4.2).</w:t>
      </w:r>
    </w:p>
    <w:p>
      <w:r>
        <w:rPr>
          <w:b/>
        </w:rPr>
        <w:t>E. 3.1.2</w:t>
      </w:r>
    </w:p>
    <w:p>
      <w:r>
        <w:t>Gemäss Art. 237 StPO ordnet das zuständige Gericht anstelle der Untersuchungs- oder Sicherheitshaft eine oder mehrere mildere Massnahmen an, wenn sie den gleichen Zweck wie die Haft erfüllen (Abs. 1). Mögliche Ersatzmassnahmen sind unter anderen eine Ausweis- und Schriftensperre (Abs. 2 lit. b) und die Auflage, sich regelmässig bei einer Amtsstelle zu melden (Abs. 2 lit. d). Nach der bundesgerichtlichen Praxis ist bei blossen Ersatzmassnahmen für Haft grundsätzlich ein weniger strenger Massstab an die erforderliche Intensität des besonderen Haftgrunds der Fluchtgefahr anzulegen als bei strafprozessualem Freiheitsentzug, denn Untersuchungshaft stellt eine deutlich schärfere Zwangsmassnahme dar als blosse Ersatzmassnahmen wie Ausweis- und Schriftensperren oder Meldepflichten ( BGE 133 I 27 E. 3.3 S. 31; Urteil 1B_172/2010 vom 25. Oktober 2010 E. 3.1). Derartige Ersatzmassnahmen sind allerdings nicht nur weniger einschneidend, sondern auch weniger wirksam. Sie können daher zwar einer gewissen Fluchtneigung der beschuldigten Person vorbeugen, sind aber bei ausgeprägter Fluchtgefahr unzureichend (Urteil 1B_217/2011 vom 7. Juni 2011 E. 5.3).</w:t>
      </w:r>
    </w:p>
    <w:p>
      <w:r>
        <w:rPr>
          <w:b/>
        </w:rPr>
        <w:t>E. 3.2</w:t>
      </w:r>
    </w:p>
    <w:p>
      <w:r>
        <w:t>Die Vorinstanz hat erwogen, der Beschwerdeführerin würden qualifizierte Widerhandlungen gegen das Betäubungsmittelgesetz und qualifizierte Geldwäschereihandlungen zur Last gelegt. Vom unteren Strafrahmen von einem Jahr Freiheitsstrafe ausgehend (Art. 19 Ziff. 1 i.V.m. Ziff. 2 BetmG; SR 812.121), habe die Beschwerdeführerin eine mehrjährige Freiheitsstrafe zu erwarten, zumal die konkret vorgeworfenen deliktischen Handlungen und die in Frage stehende Drogenmenge auf eine intensive deliktische Tätigkeit hindeuteten. Die Beschwerdeführerin sei serbische Staatsangehörige mit einer Aufenthaltsbewilligung B. Sie spreche ihre Muttersprache fliessend und kenne ihr Heimatland von Aufenthalten bei ihrer Grossmutter; zudem wohne ihr Vater in Serbien und arbeite dort als Landwirt. Des Weiteren pflege sie Kontakt zu ihrem zwölfjährigen Halbbruder, der bei seinem Vater in Deutschland lebe. Die Beschwerdeführerin wohne zwar seit zwölf Jahren in der Schweiz, habe jedoch mehr als die Hälfte ihres Lebens im Ausland (Frankreich, Österreich) verbracht. Eine Flucht zu nahestehenden Personen ins Ausland würde im Übrigen auch keinen zwingenden und im Vergleich zu einem Strafvollzug einschneidenden Kontaktunterbruch zu ihrem Ehemann und ihren beiden Kindern bedeuten. In die Beurteilung miteinzubeziehen sei auch, dass die Beschwerdeführerin seit Januar 2011 arbeitslos und somit ohne Erwerbseinkommen sei, und dass gegen sie Verlustscheine in der Höhe von rund Fr. 14'000.-- bestünden. In Würdigung der gesamten Umstände sei der besondere Haftgrund der Fluchtgefahr zu bejahen. Ersatzmassnahmen, welche geeignet wären, die Beschwerdeführerin von einer Flucht ins Ausland abzuhalten, seien keine ersichtlich, zumal Schriftensperren in Europa erfahrungsgemäss weitgehend wirkungslos blieben; finanzielle Mittel für eine Kautionsleistung fehlten.</w:t>
      </w:r>
    </w:p>
    <w:p>
      <w:r>
        <w:rPr>
          <w:b/>
        </w:rPr>
        <w:t>E. 3.3.1</w:t>
      </w:r>
    </w:p>
    <w:p>
      <w:r>
        <w:t>Die Vorinstanz hat die für und gegen den besonderen Haftgrund der Fluchgefahr sprechenden Gesichtspunkte eingehend gewürdigt und sich dabei im angefochtenen Entscheid mit den entscheiderheblichen Vorbringen der Beschwerdeführerin auseinandergesetzt. Eine Verletzung der Begründungspflicht als Ausfluss des Anspruchs der Beschwerdeführerin auf rechtliches Gehör gemäss Art. 29 Abs. 2 BV kann der Vorinstanz nicht angelastet werden. Insbesondere ist auch nicht ersichtlich, inwieweit die Urteilsbegründung es der Beschwerdeführerin faktisch verunmöglicht hätte, den Rechtsweg ans Bundesgericht wirksam zu beschreiten (vgl. BGE 133 I 270 E. 3.1 S. 277 mit Hinweisen). Soweit die Beschwerdeführerin der Vorinstanz in einzelnen Punkten eine willkürliche Sachverhaltsfeststellung anlastet (Beruf und Lebensumstände des Vaters in Serbien, Wohnsituation des zwölfjährigen Halbbruders in Deutschland), kann offen bleiben, ob ihre Einwände zutreffen, da die bestrittenen tatsächlichen Feststellungen für den Ausgang des Verfahrens nicht entscheidend sind (vgl. auch E. 1.3 hiervor).</w:t>
      </w:r>
    </w:p>
    <w:p>
      <w:r>
        <w:rPr>
          <w:b/>
        </w:rPr>
        <w:t>E. 3.3.2</w:t>
      </w:r>
    </w:p>
    <w:p>
      <w:r>
        <w:t>Wie die Vorinstanz zutreffend erwogen hat, fällt massgeblich ins Gewicht, dass der Beschwerdeführerin aufgrund der von ihr eingestandenen Delikte eine mehrjährige Freiheitsstrafe droht. Auch die persönliche Situation der Beschwerdeführerin spricht für das Vorliegen von Fluchtgefahr. Sie ist serbische Staatsangehörige, spricht ihre Muttersprache fliessend und hat in ihrer Heimat auch gelegentlich Ferien bei ihrer Grossmutter verbracht, zu welcher sie noch immer telefonischen Kontakt pflegt. Unbestritten ist weiter, dass der zwölfjährige Halbbruder der Beschwerdeführerin zurzeit in Deutschland weilt, und dass die Beschwerdeführerin selbst mehrere Jahre in Österreich gelebt hat. Neben diesem ausgeprägten Auslandbezug hat die Vorinstanz zu Recht auch die berufliche Situation und finanzielle Lage der Beschwerdeführerin als ungünstig eingestuft. Diese ist arbeitslos und weist Schulden von rund Fr. 14'000.-- auf. Der Umstand, dass die Beschwerdeführerin ihren Lebensmittelpunkt in der Schweiz hat und ihre siebenjährige Tochter und ihr zehnjähriger Sohn hier zur Welt kamen und hier die Schule besuchen, vermag diese für die Annahme von Fluchtgefahr sprechenden Indizien nicht aufzuwiegen.</w:t>
      </w:r>
    </w:p>
    <w:p>
      <w:r>
        <w:rPr>
          <w:b/>
        </w:rPr>
        <w:t>E. 3.3.3</w:t>
      </w:r>
    </w:p>
    <w:p>
      <w:r>
        <w:t>Vorliegend ist nicht davon auszugehen, dass Ersatzmassnahmen, einzeln oder in Kombination, die Fluchtgefahr bannen könnten. Wie die Vorinstanz zutreffend ausgeführt hat, könnten insbesondere eine Ausweis- und Schriftensperre sowie eine Meldepflicht die Beschwerdeführerin nicht wirksam daran hindern, die Schweiz zu verlassen, zumal seit dem Beitritt der Schweiz zum Übereinkommen von Schengen grundsätzlich keine Personenkontrollen mehr an der Landesgrenze durchgeführt werden (vgl. insoweit auch Urteil 1B_110/2011 vom 24. März 2011 E. 3.4). Nichts zu ihren Gunsten ableiten kann die Beschwerdeführerin in diesem Zusammenhang aus ihrem Hinweis auf das Urteil 1B_632/2011 vom 2. Dezember 2011, wo das Bundesgericht an Stelle der Fortsetzung des vorzeitigen Strafvollzugs die Anordnung geeigneter Ersatzmassnahmen insbesondere in Form einer Ausweis- und Schriftensperre sowie einer Meldepflicht als ausreichend erachtete, um der vorhandenen Fluchtgefahr zu begegnen. In jenem Fall gewichtete das Bundesgericht, dass die beschwerdeführende Person Schweizer Bürgerin war und keine Kontakte zu Personen im Ausland pflegte. Des Weiteren sprachen auch das relativ hohe Alter und die beeinträchtigte gesundheitliche Verfassung der beschwerdeführenden Person sowie deren Aussicht auf Bezug einer IV-Rente gegen eine besonders hohe Wahrscheinlichkeit für eine Flucht. Schliesslich war auch der psychiatrische Gutachter in seinem Bericht zum Schluss gekommen, es fehlten Hinweise auf eine erhöhte Fluchtgefahr (Urteil 1B_632/2011 vom 2. Dezember 2011 E. 5.3). Damit aber sind die diesem Entscheid zugrunde liegenden tatsächlichen Verhältnisse offensichtlich nicht mit der Situation der Beschwerdeführerin im zu beurteilenden Fall vergleichbar.</w:t>
      </w:r>
    </w:p>
    <w:p>
      <w:r>
        <w:rPr>
          <w:b/>
        </w:rPr>
        <w:t>E. 4</w:t>
      </w:r>
    </w:p>
    <w:p>
      <w:r>
        <w:t>Nach dem Gesagten ist die Beschwerde abzuweisen. Die Beschwerdeführerin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