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189/2017 vom 9. Mai 2017</w:t>
      </w:r>
    </w:p>
    <w:p>
      <w:r>
        <w:t>Bundesgericht, 2017-05-09, DE</w:t>
      </w:r>
    </w:p>
    <w:p>
      <w:r>
        <w:rPr>
          <w:b/>
        </w:rPr>
        <w:t xml:space="preserve">Quelle: </w:t>
      </w:r>
      <w:r>
        <w:t>https://mcp.opencaselaw.ch/entscheid/bger_1B_189_2017</w:t>
      </w:r>
    </w:p>
    <w:p>
      <w:r>
        <w:t>FR: TF 1B 189/2017 du 9 mai 2017</w:t>
      </w:r>
    </w:p>
    <w:p>
      <w:r>
        <w:t>IT: TF 1B 189/2017 del 9 maggio 2017</w:t>
      </w:r>
    </w:p>
    <w:p>
      <w:pPr>
        <w:pStyle w:val="Heading2"/>
      </w:pPr>
      <w:r>
        <w:t>Regeste</w:t>
      </w:r>
    </w:p>
    <w:p>
      <w:r>
        <w:t>Strafverfahren | Strafprozess</w:t>
      </w:r>
    </w:p>
    <w:p>
      <w:pPr>
        <w:pStyle w:val="Heading2"/>
      </w:pPr>
      <w:r>
        <w:t>Erwägungen</w:t>
      </w:r>
    </w:p>
    <w:p>
      <w:r>
        <w:rPr>
          <w:b/>
        </w:rPr>
        <w:t>E. 1</w:t>
      </w:r>
    </w:p>
    <w:p>
      <w:r>
        <w:t>Die Staatsanwaltschaft Rheinfelden-Laufenburg stellte mit Verfügung vom 7. März 2017 das Strafverfahren gegen A.________ wegen Fahrens in fahrunfähigem Zustand ein und auferlegte ihm die Verfahrenskosten. Gegen die Einstellungsverfügung erhob A.________ Beschwerde. Die Beschwerdekammer in Strafsachen des Obergerichts des Kantons Aargau forderte ihn mit Verfügung vom 11. April 2017 auf, innert einer Frist von 5 Tagen seit Zustellung dieser Verfügung den Nachweis dafür zu erbringen, dass die Beschwerde fristgerecht erhoben wurde.</w:t>
      </w:r>
    </w:p>
    <w:p>
      <w:r>
        <w:rPr>
          <w:b/>
        </w:rPr>
        <w:t>E. 2</w:t>
      </w:r>
    </w:p>
    <w:p>
      <w:r>
        <w:t>A.________ erhob gegen die Verfügung der Beschwerdekammer in Strafsache vom 11. April 2017 mit Eingabe vom 2. Mai 2017 Beschwerde in Strafsachen.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der keinen zulässigen Beschwerdegrund nennt, legt mit seinen Ausführungen nicht ansatzweise dar, inwiefern die Begründung der Beschwerdekammer in Strafsachen bzw. deren Verfügung selbst rechts- bzw. verfassungswidrig sein soll. Die Beschwerde genügt den gesetzlichen Formerfordernissen offensichtlich nicht, weshalb auf sie im vereinfachten Verfahren nach Art. 108 Abs. 1 BGG nicht einzutreten ist. Somit kann offenbleiben, ob die angefochtene Verfügung überhaupt einen anfechtbaren Entscheid im Sinne von Art. 93 Abs. 1 BGG darstellt. Soweit der Beschwerdeführer seine Beschwerde als Gesuch um Wiederherstellung der Frist zur Vernehmlassung verstanden haben will, wird die Eingabe zuständigkeitshalber der Beschwerdekammer in Strafsachen des Obergerichts des Kantons Aargau zur allfälligen Behandlung zugestellt.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