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189/2014 vom 28. Juli 2014</w:t>
      </w:r>
    </w:p>
    <w:p>
      <w:r>
        <w:t>Bundesgericht, 2014-07-28, FR</w:t>
      </w:r>
    </w:p>
    <w:p>
      <w:r>
        <w:rPr>
          <w:b/>
        </w:rPr>
        <w:t xml:space="preserve">Quelle: </w:t>
      </w:r>
      <w:r>
        <w:t>https://mcp.opencaselaw.ch/entscheid/bger_1B_189_2014</w:t>
      </w:r>
    </w:p>
    <w:p>
      <w:r>
        <w:t>FR: TF 1B 189/2014 du 28 juillet 2014</w:t>
      </w:r>
    </w:p>
    <w:p>
      <w:r>
        <w:t>IT: TF 1B 189/2014 del 28 luglio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Si les conclusions prises devant le Tribunal de céans tendent à des constatations, il en ressort cependant que le recourant demande le prononcé de la mesure de substitution proposée, soit l'exécution du solde de la peine privative de liberté prononcée en octobre 2012, conclusion recevable (cf. également les conclusions prises dans le mémoire de recours cantonal).</w:t>
      </w:r>
    </w:p>
    <w:p>
      <w:r>
        <w:rPr>
          <w:b/>
        </w:rPr>
        <w:t>E. 2</w:t>
      </w:r>
    </w:p>
    <w:p>
      <w:r>
        <w:t>La motivation au sens de l' art. 42 al. 2 LTF doit se rapporter à l'objet du litige tel qu'il est circonscrit par l'arrêt attaqué. Lorsque la décision attaquée comporte plusieurs motivations indépendantes, alternatives ou subsidiaires dont chacune suffit à sceller le sort de la cause, il appartient à la partie recourante, sous peine d'irrecevabilité, de démontrer que chacune d'entre elles est contraire au droit ( ATF 138 III 728 consid. 3.4 p. 734 s.; 138 I 97 consid. 4.1.4 p. 100; 133 IV 119 consid. 6.3 p. 120 s.).</w:t>
      </w:r>
    </w:p>
    <w:p>
      <w:r>
        <w:rPr>
          <w:b/>
        </w:rPr>
        <w:t>E. 2.1</w:t>
      </w:r>
    </w:p>
    <w:p>
      <w:r>
        <w:t>Selon la Chambre pénale de recours, l'exécution anticipée de la peine n'était envisageable qu'à partir du moment où la présence du prévenu n'était plus immédiatement nécessaire à l'administration des preuves. En l'espèce, elle a retenu que l'instruction n'était pas terminée: de nouvelles charges étaient apparues en avril 2014; elles étaient certes contestées par le recourant, mais elles imposaient de nouvelles mesures d'instruction, voire la mise en oeuvre d'un complément d'expertise psychiatrique, ainsi que des confrontations avec les plaignants et témoins en lien avec les mises en prévention de septembre et novembre 2013. La cour cantonale a ensuite rappelé les différents motifs retenus dans son arrêt du 17 janvier 2014: elle ignorait tout des conditions dans lesquelles la peine serait purgée (établissement, régime de détention), ainsi que des possibilités qu'aurait le prévenu de bénéficier de congés, de la semi-liberté, voire d'une libération conditionnelle; elle ne pouvait ainsi prévoir que l'intéressé serait remis en détention provisoire si l'exécution de la peine devait prendre fin durant la procédure. Les juges cantonaux ont enfin fait état du comportement adopté par le recourant lorsqu'il séjournait dans des institutions (fugues, consommation de stupéfiants), des infractions commises dès sa libération après le jugement d'octobre 2012 et du courrier adressé à son amie afin d'obtenir des drogues alors qu'il était en détention provisoire. De la sorte, les juges cantonaux ont exposé trois motivations, indépendantes l'une de l'autre, conduisant toutes au maintien de l'intéressé en détention provisoire.</w:t>
      </w:r>
    </w:p>
    <w:p>
      <w:r>
        <w:rPr>
          <w:b/>
        </w:rPr>
        <w:t>E. 2.2</w:t>
      </w:r>
    </w:p>
    <w:p>
      <w:r>
        <w:t>En l'occurrence, le recourant soutient que l'exécution de la peine privative de liberté prononcée en octobre 2012 constituerait une mesure de substitution propre à pallier les dangers de fuite, ainsi que de récidive. Il fait aussi valoir que le régime d'exécution qui lui serait appliqué tiendrait compte des risques susmentionnés, notamment dans l'hypothèse d'un éventuel congé ou d'une possible libération conditionnelle. En ce sens, il s'en prend aux motivations cantonales liées aux conditions dans lesquelles serait exécutée sa peine de manière anticipée, contestant l'absence de garanties liées aux risques de fuite et de récidive. En revanche, il ne développe aucune argumentation tendant à soutenir que sa présence, en tant que prévenu, ne serait plus nécessaire pour l'administration des preuves; il ne critique pas plus l'appréciation des juges cantonaux à teneur de laquelle le stade actuel de la procédure empêcherait une exécution anticipée de peine. A défaut d'avoir attaqué cette motivation-là de l'arrêt cantonal, l'intéressé doit voir son recours déclaré irrecevable.</w:t>
      </w:r>
    </w:p>
    <w:p>
      <w:r>
        <w:rPr>
          <w:b/>
        </w:rPr>
        <w:t>E. 2.3</w:t>
      </w:r>
    </w:p>
    <w:p>
      <w:r>
        <w:t>L'irrecevabilité du recours ne porte toutefois pas préjudice au recourant, dans la mesure où - de toute manière - les développements de la cour cantonale qui n'ont pas été attaqués devant le Tribunal de céans sont conformes au droit fédéral pour les motifs qui suivent. L'art. 236 al. 1 in fine CPP suppose que le "stade de la procédure" concernée permette une exécution anticipée de la peine. D'après la jurisprudence et la doctrine, ce stade correspond au moment à partir duquel la présence du prévenu n'est plus immédiatement nécessaire à l'administration des preuves: tel est en principe le cas lorsque l'instruction est sur le point d'être close (arrêt 1B_680/2012 du 6 décembre 2012 consid. 2.1; cf. également le Message du Conseil fédéral du 21 décembre 2005 relatif l'unification de la procédure pénale [FF 2005 p. 1217]; Niklaus Schmid, Praxiskommentar, 2e éd. 2013, n° 2 ad art. 236 CPP ; Niklaus Oberholzer, Grundzüge des Strafprozessrechts, 3e éd. 2012, n° 1040; Jo Pitteloud, Code de procédure pénale suisse, 2012, n° 519; Matthias Härri, in Basler Kommentar StPo, 2011, n° 2 et 13 ad art. 236 CPP ; Patrick Robert-Nicoud, in Commentaire romand CPP, 2011, n° 4 ad art. 236 CPP ; Markus Hug, in Donatsch/Hansjakob/Lieber (édit.), Kommentar zur Schweizerischen Strafprozessordnung, 2010, n° 9 ad art. 236 CPP ). Cette restriction n'a pas seulement pour but d'empêcher tout risque de collusion, mais répond également à des besoins pratiques, en raison de l'éventuel éloignement géographique entre les lieux d'exécution de peine et ceux où a lieu l'administration des preuves (Härri, op. cit., n° 13 ad art. 236 CPP ). Dans ses observations devant la cour cantonale, le Ministère public s'est prévalu des complications qu'impliquerait, pour l'instruction de la cause, le placement du prévenu dans un établissement d'exécution de peine. Le recourant ne prétend plus devant le Tribunal de céans que la mise en oeuvre de l'exécution anticipée - impliquant généralement un changement d'établissement - ne pourrait se faire que dans de longs mois (cf. notamment ad b p. 6 s. de son mémoire cantonal). Il ne soutient pas non plus que la procédure d'instruction serait terminée ou en voie de l'être, relevant uniquement dans son mémoire complémentaire du 23 juillet 2014 qu'une audition de confrontation a eu lieu le 18 mars 2014 en présence de son amie et du co-prévenu. Dans ces conditions, même recevable, le grief lié à l'état d'avancement de la procédure entraînerait le rejet du recours.</w:t>
      </w:r>
    </w:p>
    <w:p>
      <w:r>
        <w:rPr>
          <w:b/>
        </w:rPr>
        <w:t>E. 3</w:t>
      </w:r>
    </w:p>
    <w:p>
      <w:r>
        <w:t>Au vu de ce qui précède (consid. 2.2), le recours est irrecevable. Le recourant a demandé l'assistance judiciaire et les conditions en paraissent réunies ( art. 64 al. 1 LTF ). Il y a lieu de désigner Me Yaël Hayat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