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1B_187/2023 vom 9. Mai 2023</w:t>
      </w:r>
    </w:p>
    <w:p>
      <w:r>
        <w:t>Bundesgericht, 2023-05-09, DE</w:t>
      </w:r>
    </w:p>
    <w:p>
      <w:r>
        <w:rPr>
          <w:b/>
        </w:rPr>
        <w:t xml:space="preserve">Quelle: </w:t>
      </w:r>
      <w:r>
        <w:t>https://mcp.opencaselaw.ch/entscheid/bger_1B_187_2023</w:t>
      </w:r>
    </w:p>
    <w:p>
      <w:r>
        <w:t>FR: TF 1B_187/2023 du 9 mai 2023</w:t>
      </w:r>
    </w:p>
    <w:p>
      <w:r>
        <w:t>IT: TF 1B_187/2023 del 9 maggio 2023</w:t>
      </w:r>
    </w:p>
    <w:p>
      <w:pPr>
        <w:pStyle w:val="Heading2"/>
      </w:pPr>
      <w:r>
        <w:t>Erwägungen</w:t>
      </w:r>
    </w:p>
    <w:p>
      <w:r>
        <w:rPr>
          <w:b/>
        </w:rPr>
        <w:t>E. 1</w:t>
      </w:r>
    </w:p>
    <w:p>
      <w:r>
        <w:t>Im Rahmen eines gegen C.A.________ geführten Strafverfahrens erliess die Bundesanwaltschaft am 15. März 2023 einen Durchsuchungs- und Sicherstellungsbefehl, welcher gleichentags von der Bundeskriminalpolizei in der Wohnung von C.A.________ und B.A.________ vollzogen wurde. Dabei beantragte C.A.________ die Siegelung sämtlicher "IT-Devices, Wertsachen, Akten und Dokumente." Mit Beschwerde vom 22. März 2023 gelangte B.A.________ an die Beschwerdekammer des Bundesstrafgerichts und beantragte die Aufhebung der vorläufigen Sicherstellung und die Rückgabe der sichergestellten Asservate. Die Beschwerdekammer des Bundesstrafgerichts trat mit Beschluss vom 28. März 2023 auf die Beschwerde nicht ein und auferlegte B.A.________ die Gerichtsgebühr von Fr. 2'000.--. Zur Begründung führte sie zusammenfassend aus, dass die im Anschluss an eine Hausdurchsuchung erfolgte Sicherstellung von Gegenständen bloss provisorischen Charakter habe und keine mittels Beschwerde anfechtbare Massnahme darstelle.</w:t>
      </w:r>
    </w:p>
    <w:p>
      <w:r>
        <w:rPr>
          <w:b/>
        </w:rPr>
        <w:t>E. 2</w:t>
      </w:r>
    </w:p>
    <w:p>
      <w:r>
        <w:t>B.A.________ gelangte mit Eingabe vom 31. März 2023 an das Bundesstrafgericht und ersuchte um Reduzierung der Gerichtsgebühr von Fr. 2'000.-- auf Fr. 500.--. Der Präsident der Beschwerdekammer des Bundesstrafgerichts überwies die Eingabe mit Schreiben vom 4. April 2023 dem Bundesgericht zur allfälligen Behandlung als Beschwerde.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Die Beschwerde richtet sich einzig gegen den Kostenpunkt, welchen die Beschwerdeführerin als willkürlich, unverhältnismässig und gegen Treu und Glauben verstossend beanstandet. Die Beschwerdekammer des Bundesstrafgerichts auferlegte der Beschwerdeführerin die Gerichtskosten aufgrund ihres Unterliegens ( Art. 428 Abs. 1 StPO ) und setzte die Höhe der Gerichtskosten gemäss Art. 73 StBOG i.V.m. Art. 5 und Art. 8 Abs. 1 BStKR fest. Danach können für das Beschwerdeverfahren Gebühren von Fr. 200.-- bis Fr. 50'000.-- erhoben werden. Die Beschwerdeführerin begründet ihre Rügen nicht weiter. Sie vermag daher mit Blick auf den für das Beschwerdeverfahren vor der Beschwerdekammer anzuwendenden Gebührenrahmen nicht aufzuzeigen, inwiefern die ihr auferlegte Gerichtsgebühr von Fr. 2'000.-- rechtswidrig sein sollte. Die Beschwerde genügt den Begründungsanforderungen von Art. 42 Abs. 2 BGG offensichtlich nicht, weshalb auf sie im vereinfachten Verfahren nach Art. 108 Abs. 1 BGG nicht einzutreten ist.</w:t>
      </w:r>
    </w:p>
    <w:p>
      <w:r>
        <w:t>Somit kann offen bleiben, ob die weiteren Eintretensvoraussetzungen erfüllt sind.</w:t>
      </w:r>
    </w:p>
    <w:p>
      <w:r>
        <w:rPr>
          <w:b/>
        </w:rPr>
        <w:t>E. 4</w:t>
      </w:r>
    </w:p>
    <w:p>
      <w:r>
        <w:t>Ausnahmsweise ist auf eine Kostenauflage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