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187/2019 vom 29. April 2019</w:t>
      </w:r>
    </w:p>
    <w:p>
      <w:r>
        <w:t>Bundesgericht, 2019-04-29, DE</w:t>
      </w:r>
    </w:p>
    <w:p>
      <w:r>
        <w:rPr>
          <w:b/>
        </w:rPr>
        <w:t xml:space="preserve">Quelle: </w:t>
      </w:r>
      <w:r>
        <w:t>https://mcp.opencaselaw.ch/entscheid/bger_1B_187_2019</w:t>
      </w:r>
    </w:p>
    <w:p>
      <w:r>
        <w:t>FR: TF 1B 187/2019 du 29 avril 2019</w:t>
      </w:r>
    </w:p>
    <w:p>
      <w:r>
        <w:t>IT: TF 1B 187/2019 del 29 aprile 2019</w:t>
      </w:r>
    </w:p>
    <w:p>
      <w:pPr>
        <w:pStyle w:val="Heading2"/>
      </w:pPr>
      <w:r>
        <w:t>Regeste</w:t>
      </w:r>
    </w:p>
    <w:p>
      <w:r>
        <w:t>Auftrag zur psychiatrischen Begutachtung | Strafprozess</w:t>
      </w:r>
    </w:p>
    <w:p>
      <w:pPr>
        <w:pStyle w:val="Heading2"/>
      </w:pPr>
      <w:r>
        <w:t>Erwägungen</w:t>
      </w:r>
    </w:p>
    <w:p>
      <w:r>
        <w:rPr>
          <w:b/>
        </w:rPr>
        <w:t>E. 1</w:t>
      </w:r>
    </w:p>
    <w:p>
      <w:r>
        <w:t>Die Staatsanwaltschaft Zürich-Limmat führt seit Herbst 2018 eine Strafuntersuchung gegen A.________ wegen Tätlichkeit (eventuell einfacher Körperverletzung), Drohungen bzw. Nötigung und Ehrverletzung. Am 19./22. November 2018 beauftragte die Staatsanwaltschaft Dr. med. B.________ vom Zentrum für Stationäre Forensische Therapie der Psychiatrischen Universitätsklinik Zürich mit der (ergänzenden) Begutachtung von A.________. Gegen diesen Gutachtensauftrag erhob A.________ am 25. November 2018 Beschwerde. Die III. Strafkammer des Obergerichts des Kantons Zürich wies die Beschwerde mit Beschluss vom 15. März 2019 ab.</w:t>
      </w:r>
    </w:p>
    <w:p>
      <w:r>
        <w:rPr>
          <w:b/>
        </w:rPr>
        <w:t>E. 2</w:t>
      </w:r>
    </w:p>
    <w:p>
      <w:r>
        <w:t>A.________ führt mit Eingabe vom 23. April 2019 Beschwerde in Strafsachen gegen den Beschluss der III. Strafkammer des Obergerichts des Kantons Zürich. Das Bundesgericht verzichtet auf die Einholung von Vernehmlassungen.</w:t>
      </w:r>
    </w:p>
    <w:p>
      <w:r>
        <w:rPr>
          <w:b/>
        </w:rPr>
        <w:t>E. 3</w:t>
      </w:r>
    </w:p>
    <w:p>
      <w:r>
        <w:t>Angefochten ist ein kantonal letztinstanzlicher Entscheid, mit dem die III. Strafkammer des Obergerichts eine Beschwerde gegen die Anordnung einer psychiatrischen Begutachtung des Beschuldigten abwies; dagegen ist die Beschwerde in Strafsachen zulässig ( Art. 78 Abs. 1, Art. 80 BGG ). Der angefochtene Beschluss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 gutzumachende Nachteil ergeben soll, sofern dies nicht offensichtlich ist ( BGE 138 III 46 E. 1.2 S. 47; zum Ganzen: BGE 141 IV 284 E. 2.3 S. 287; 289 E. 1.3 S. 292).</w:t>
      </w:r>
    </w:p>
    <w:p>
      <w:r>
        <w:rPr>
          <w:b/>
        </w:rPr>
        <w:t>E. 4</w:t>
      </w:r>
    </w:p>
    <w:p>
      <w:r>
        <w:t>Der Beschwerdeführer setzt sich mit den Voraussetzungen von Art. 93 Abs. 1 BGG nicht auseinander und legt nicht dar, inwiefern der angefochtene Beschluss einen nicht wieder gutzumachenden Nachteil rechtlicher Natur bewirken könnte. Das ist auch nicht offensichtlich, zumal der Beschwerdeführer selbst ausführt, dass es "prozess-ökonomisch besser" wäre, vorliegend "den Hauptprozess, bzw. die Hauptprozesse" abzuwarten. Auf die Beschwerde ist somit wegen Verletzung der gesetzlichen Begründungspflicht im vereinfachten Verfahren nach Art. 108 BGG nicht einzutreten.</w:t>
      </w:r>
    </w:p>
    <w:p>
      <w:r>
        <w:rPr>
          <w:b/>
        </w:rPr>
        <w:t>E. 5</w:t>
      </w:r>
    </w:p>
    <w:p>
      <w:r>
        <w:t>Die Beschwerde erweist sich als von vornherein aussichtslos, weshalb das Gesuch um unentgeltliche Rechtspflege abzuweisen ist ( Art. 64 BGG ). Auf eine Kostenauflage ist indessen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