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187/2013 vom 4. Juli 2013</w:t>
      </w:r>
    </w:p>
    <w:p>
      <w:r>
        <w:t>Bundesgericht, 2013-07-04, FR</w:t>
      </w:r>
    </w:p>
    <w:p>
      <w:r>
        <w:rPr>
          <w:b/>
        </w:rPr>
        <w:t xml:space="preserve">Quelle: </w:t>
      </w:r>
      <w:r>
        <w:t>https://mcp.opencaselaw.ch/entscheid/bger_1B_187_2013</w:t>
      </w:r>
    </w:p>
    <w:p>
      <w:r>
        <w:t>FR: TF 1B 187/2013 du 4 juillet 2013</w:t>
      </w:r>
    </w:p>
    <w:p>
      <w:r>
        <w:t>IT: TF 1B 187/2013 del 4 luglio 2013</w:t>
      </w:r>
    </w:p>
    <w:p>
      <w:pPr>
        <w:pStyle w:val="Heading2"/>
      </w:pPr>
      <w:r>
        <w:t>Regeste</w:t>
      </w:r>
    </w:p>
    <w:p>
      <w:r>
        <w:t>révocation de la nomination d'un avocat d'office | Procédure pénale</w:t>
      </w:r>
    </w:p>
    <w:p>
      <w:pPr>
        <w:pStyle w:val="Heading2"/>
      </w:pPr>
      <w:r>
        <w:t>Erwägungen</w:t>
      </w:r>
    </w:p>
    <w:p>
      <w:r>
        <w:rPr>
          <w:b/>
        </w:rPr>
        <w:t>E. 1</w:t>
      </w:r>
    </w:p>
    <w:p>
      <w:r>
        <w:t>La contestation portant sur une décision relative à la défense d'office en matière pénale, le recours au Tribunal fédéral est régi par les art. 78 ss LTF . Le recourant a agi en temps utile ( art. 100 al. 1 LTF ) contre une décision prise en dernière instance cantonale ( art. 80 al. 1 LTF ).</w:t>
      </w:r>
    </w:p>
    <w:p>
      <w:r>
        <w:rPr>
          <w:b/>
        </w:rPr>
        <w:t>E. 1.1</w:t>
      </w:r>
    </w:p>
    <w:p>
      <w:r>
        <w:t>La décision par laquelle le juge refuse un changement de défenseur d'office constitue, pour le prévenu, une décision incidente, qui ne met pas fin à la procédure; le recours n'est alors recevable qu'aux conditions de l' art. 93 al. 1 LTF ( ATF 126 I 207 consid. 1a p. 209; 111 Ia 276 consid. 2b p. 278 s.). Pour l'avocat dont le mandat a été révoqué, la décision peut en revanche être considérée comme finale au sens de l' art. 90 LTF , ou comme une décision incidente causant un préjudice irréparable (cf. ATF 133 IV 335 consid. 5 p. 339).</w:t>
      </w:r>
    </w:p>
    <w:p>
      <w:r>
        <w:rPr>
          <w:b/>
        </w:rPr>
        <w:t>E. 1.2</w:t>
      </w:r>
    </w:p>
    <w:p>
      <w:r>
        <w:t>Selon l' art. 81 al. 1 LTF , a qualité pour recourir quiconque a pris part à la procédure devant l'instance précédente - ce qui est le cas du recourant - et a un intérêt juridique à l'annulation ou à la modification de la décision attaquée. La liste exemplative de l' art. 81 al. 1 let. b LTF mentionne l'accusé et son représentant légal (ch. 1 et 2), mais non son avocat. Le bénéficiaire du droit à l'assistance judiciaire ( art. 29 al. 3 Cst. et 132 ss CPP) est exclusivement la partie au procès, soit en l'occurrence le prévenu. L'avocat, ne peut pas déposer en son propre nom une demande d'assistance judiciaire; il peut certes disposer d'un intérêt de fait à une nomination comme avocat d'office, mais non d'un intérêt juridique, et ne peut donc pas recourir contre un refus de désignation (arrêt 1B_705/2011 du 9 mai 2012, consid. 2.2 et les arrêts cités). Il en va différemment lorsque l'avocat a été désigné défenseur d'office, puisqu'il bénéficie alors des prérogatives attachées à cette nomination (droit de représentation et droit à une indemnisation notamment). Il dispose dès lors d'un intérêt juridique à l'annulation de la décision de révocation ( ATF 133 IV 335 consid. 5 p. 340; cf. toutefois Thommen BSK/BGG n° 75 ad art. 81; Schmid, Handbuch des schweizerischen Strafprozessordnung, Zurich/St. Gall 2009, n° 1652 note 515).</w:t>
      </w:r>
    </w:p>
    <w:p>
      <w:r>
        <w:rPr>
          <w:b/>
        </w:rPr>
        <w:t>E. 2</w:t>
      </w:r>
    </w:p>
    <w:p>
      <w:r>
        <w:t>Le recourant invoque les art. 128 CPP et 12 de la loi fédérale sur les avocats (LLCA, RS 935.61). Il estime que le choix de la stratégie de défense ne pourrait être un juste motif de révocation; au contraire du cas où l'avocat néglige sa mission, la multiplication des actes de procédure ne saurait être sanctionnée de la sorte. Le prévenu soutenant avoir agi en état de légitime défense, il estime se trouver détenu à tort et on ne saurait lui reprocher ses nombreuses demandes de mise en liberté.</w:t>
      </w:r>
    </w:p>
    <w:p>
      <w:r>
        <w:rPr>
          <w:b/>
        </w:rPr>
        <w:t>E. 2.1</w:t>
      </w:r>
    </w:p>
    <w:p>
      <w:r>
        <w:t>Le droit à l'assistance judiciaire ( art. 6 par. 3 let . c CEDH et 29 al. 3 Cst.)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 ATF 138 IV 161 consid. 2.4 p. 164). Selon l' art. 134 al. 2 CPP ,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 ATF 138 IV 161 consid. 2.4 p. 165 s.).</w:t>
      </w:r>
    </w:p>
    <w:p>
      <w:r>
        <w:rPr>
          <w:b/>
        </w:rPr>
        <w:t>E. 2.2</w:t>
      </w:r>
    </w:p>
    <w:p>
      <w:r>
        <w:t>Il appartient à la direction de la procédure de s'assurer que le droit à une défense efficace est matériellement garanti ( SCHMID, Handbuch des schweizerischen Strafprozessrechts, n° 762). C'est donc à elle d'intervenir lorsqu'il apparaît que le défenseur néglige gravement les devoirs que lui imposent sa profession et sa fonction, au détriment du prévenu ( ATF 126 I 194 consid. 3d p. 198). Le choix de la stratégie de défense appartient certes au défenseur, d'entente avec le prévenu. Toutefois, lorsque l'avocat présente des carences manifestes, l'autorité pénale doit - en principe à titre d'ultima ratio et après avoir rappelé l'intéressé à ses obligations - procéder à un changement d'avocat d'office ( LIEBER, Kommentar zur StPO, n° 15 ad art. 134). Tel est le cas lorsque le défenseur ne fournit pas de prestation propre et se contente de se faire le porte-parole du prévenu, sans esprit critique ( ATF 126 I 194 consid. 3d p. 199), ou lorsqu'au contraire il déclare qu'il ne croit pas à l'innocence de son client lors même que celui-ci n'a pas avoué. Les absences du défenseur aux débats ( art. 336 al. 2 CPP )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 art. 3 CPP ), ou encore le principe de célérité, en particulier lorsque le prévenu se trouve en détention ( art. 5 al. 2 CPP ).</w:t>
      </w:r>
    </w:p>
    <w:p>
      <w:r>
        <w:rPr>
          <w:b/>
        </w:rPr>
        <w:t>E. 2.3</w:t>
      </w:r>
    </w:p>
    <w:p>
      <w:r>
        <w:t>En l'occurrence, le recourant paraît avoir conservé l'entière confiance du prévenu; celui-ci l'a confirmé en instance cantonale à l'occasion de son recours contre l'ordonnance de révocation. Il est vrai que l'avocat a déposé de très nombreuses demandes de mise en liberté, formées pour des motifs variables et parfois entachées d'irrégularités formelles. Ce droit de recourir est toutefois garanti à l' art. 228 al. 1 CPP . L'autorité peut limiter ce droit en fixant un délai d'un mois durant lequel la libération ne peut plus être requise ( art. 228 al. 5 CPP ); le Tmc a d'ailleurs fait usage à deux reprises de cette faculté dans la présente procédure. L'autorité ne saurait non plus reprocher au prévenu et à son défenseur de nier les charges retenues, même, le cas échéant, contre l'évidence: il s'agit là d'un droit fondamental reconnu à toute personne prévenue (cf. art. 113 CPP ). Les diverses absences du défenseur ont certes conduit à l'annulation de certaines audiences, mais l'arrêt attaqué ne fait état que de deux cas précis. La cour cantonale reproche à l'avocat d'avoir déposé personnellement un acte le 22 février 2013 alors qu'il avait, pour justifier le report d'une audience du 20 février 2012, déclaré être absent du 19 au 22 février. Rien ne permet néanmoins d'affirmer que l'avocat aurait pu être présent au jour de l'audience prévue et que la demande de report serait, par conséquent, abusive. On ne saurait, en l'état, parler d'obstruction systématique constitutive d'un manquement grave. Il est également reproché à l'avocat de manquer de distance et d'esprit critique à l'égard de son client. Dans des observations datées du 7 mars 2013 au Ministère public, le prévenu avait certes affirmé qu'il était lui-même à l'origine des nombreuses demandes de mise en liberté. Cela ne signifie pas que l'avocat aurait donné suite aveuglément aux directives de son client: dans la mesure où ce dernier se prétend innocent, et donc détenu à tort, la présentation de nombreuses requêtes de mise en liberté procède d'une certaine cohérence au regard de la ligne de défense choisie, même si de telles demandes répétées, sans présentation de faits nouveaux, ne présentent guère de chances de succès. Le prévenu affirmait également dans ses propres observations que certains éléments retenus par le Ministère public seraient "partiels et partiaux, sinon simplement mensongers". Comme le relève l'arrêt attaqué, l'avocat n'a toutefois pas repris ces dernières affirmations dans ses propres observations, de sorte que l'on ne saurait lui reprocher de reprendre systématiquement et sans esprit critique les assertions de son client. Quoiqu'il en soit, de tels manquements, qui pourraient relever du droit disciplinaire, ne constituent pas non plus des motifs de révocation fondés sur le manque d'efficacité de la défense.</w:t>
      </w:r>
    </w:p>
    <w:p>
      <w:r>
        <w:rPr>
          <w:b/>
        </w:rPr>
        <w:t>E. 2.4</w:t>
      </w:r>
    </w:p>
    <w:p>
      <w:r>
        <w:t>L'attitude et les démarches de l'avocat procèdent d'une stratégie de défense dont l'opportunité est certes discutable, mais qui est manifestement voulue et assumée par le prévenu dont la capacité de discernement n'est pas remise en cause. Or, le choix de la conduite de la défense appartient, comme on l'a vu, pour l'essentiel au prévenu et à son avocat ( ATF 126 I 194 consid. 3d p. 199), et la partie concernée doit en assumer toutes les conséquences.</w:t>
      </w:r>
    </w:p>
    <w:p>
      <w:r>
        <w:rPr>
          <w:b/>
        </w:rPr>
        <w:t>E. 2.5</w:t>
      </w:r>
    </w:p>
    <w:p>
      <w:r>
        <w:t>En définitive, les reproches adressés au défenseur d'office ne sauraient justifier une révocation du mandat. Dans la mesure où le prévenu est, comme cela paraît être le cas, conscient des conséquences liées à sa stratégie de défense (en particulier: allongement de la procédure, irrecevabilité ou rejet des démarches procédurières, défaut d'indemnisation de l'avocat d'office pour les démarches inutiles), l'on ne saurait considérer que l'attitude du défenseur est assimilable à une carence manifeste, ni qu'une défense effective n'est plus assurée. Il s'agit cependant d'une situation qui est à la limite du tolérable, vu en particulier les diverses absences du défenseur d'office et le retard que cela entraîne pour la procédure. Sous l'angle de l' art. 134 al. 2 CPP , l'appréciation pourrait à l'avenir être différente si les indisponibilités du recourant persistaient ou si tout autre fait établi permettait de mettre en doute concrètement l'efficacité de la défense du prévenu.</w:t>
      </w:r>
    </w:p>
    <w:p>
      <w:r>
        <w:rPr>
          <w:b/>
        </w:rPr>
        <w:t>E. 3</w:t>
      </w:r>
    </w:p>
    <w:p>
      <w:r>
        <w:t>Le recours doit par conséquent être admis. La décision attaquée est annulée, de même que l'ordonnance du Ministère public du 8 mars 2013. Le recourant, qui obtient gain de cause, a droit à des dépens, à la charge du canton de Genève. Conformément à l' art. 66 al. 4 LTF , il n'est pas perçu de frais judiciaires. La cause est renvoyée à la Chambre pénale de recours pour nouvelle décision sur les frais et indemnités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