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186/2011 vom 4. Mai 2011</w:t>
      </w:r>
    </w:p>
    <w:p>
      <w:r>
        <w:t>Bundesgericht, 2011-05-04, FR</w:t>
      </w:r>
    </w:p>
    <w:p>
      <w:r>
        <w:rPr>
          <w:b/>
        </w:rPr>
        <w:t xml:space="preserve">Quelle: </w:t>
      </w:r>
      <w:r>
        <w:t>https://mcp.opencaselaw.ch/entscheid/bger_1B_186_2011</w:t>
      </w:r>
    </w:p>
    <w:p>
      <w:r>
        <w:t>FR: TF 1B 186/2011 du 4 mai 2011</w:t>
      </w:r>
    </w:p>
    <w:p>
      <w:r>
        <w:t>IT: TF 1B 186/2011 del 4 maggio 2011</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en matière pénale, notamment celles relatives à la détention provisoire ou pour des motifs de sûreté au sens des art. 212 ss CPP .</w:t>
      </w:r>
    </w:p>
    <w:p>
      <w:r>
        <w:rPr>
          <w:b/>
        </w:rPr>
        <w:t>E. 1.1</w:t>
      </w:r>
    </w:p>
    <w:p>
      <w:r>
        <w:t>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code de procédure pénale suisse (CPP; RS 312.0) est entré en vigueur le 1er janvier 2011. Il est applicable au cas d'espèce.</w:t>
      </w:r>
    </w:p>
    <w:p>
      <w:r>
        <w:rPr>
          <w:b/>
        </w:rPr>
        <w:t>E. 2</w:t>
      </w:r>
    </w:p>
    <w:p>
      <w:r>
        <w:t>Une mesure de détention provisoire ou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S'agissant d'une restriction grave à la liberté personnelle, le Tribunal fédéral examine librement ces questions, sous réserve toutefois de l'appréciation des preuves, revue sous l'angle restreint de l'arbitraire ( ATF 128 I 184 consid. 2.1 p. 186, 123 I 268 consid. 2d p. 271).</w:t>
      </w:r>
    </w:p>
    <w:p>
      <w:r>
        <w:rPr>
          <w:b/>
        </w:rPr>
        <w:t>E. 3</w:t>
      </w:r>
    </w:p>
    <w:p>
      <w:r>
        <w:t>Le recourant ne remet pas en cause la base légale de la détention. Il se plaint implicitement d'une violation du principe de la proportionnalité, au motif que la durée de la détention pour des motifs de sûreté serait excessive au regard de la peine qu'il encourt.</w:t>
      </w:r>
    </w:p>
    <w:p>
      <w:r>
        <w:rPr>
          <w:b/>
        </w:rPr>
        <w:t>E. 3.1</w:t>
      </w:r>
    </w:p>
    <w:p>
      <w:r>
        <w:t>En vertu des art. 31 al. 3 Cst. et 5 par. 3 CEDH,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de l'action pénale pourrait être enclin à prendre en considération, lors de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circonstances concrètes du cas d'espèce ( ATF 133 I 168 consid. 4.1 p. 170 s.; ATF 132 I 21 consid. 4.1 p. 28; 124 I 208 consid. 6 p. 215; 123 I 268 consid. 3a p. 273).</w:t>
      </w:r>
    </w:p>
    <w:p>
      <w:r>
        <w:rPr>
          <w:b/>
        </w:rPr>
        <w:t>E. 3.2</w:t>
      </w:r>
    </w:p>
    <w:p>
      <w:r>
        <w:t>En l'occurrence, le recourant nie toute implication dans un quelconque trafic de cocaïne et estime que, vu les pièces nouvelles produites au dossier, sa condamnation pour crime contre la LStup ne pourra être maintenue; il consacre une large part de son écriture à exposer en quoi ces pièces décrédibilisent les fondements de cette condamnation, soit les déclarations à charge de B.________. Il en déduit que la peine qu'il encourt sera inférieure à la détention déjà subie. Partant, le recourant perd de vue que c'est au juge du fond et non à celui de la détention qu'il incombera d'apprécier l'implication du prévenu dans le trafic de cocaïne et la valeur probante du témoignage de B.________. Il n'appartient pas au juge de la détention de se livrer à un pronostic détaillé de la peine qui sera prononcée, et encore moins de s'écarter radicalement de la peine prononcée en première instance; il lui incombe uniquement de vérifier, sous l'angle de la vraisemblance, que le maintien en détention avant jugement repose sur des indices de culpabilité suffisants (cf. ATF 116 Ia 143 consid. 3c p. 146; Gérard Piquerez, Traité de procédure pénale suisse, 2e éd., 2006, p. 540 et les références). A cet égard, la Cour d'appel pénal peut être suivie lorsqu'elle relève que s'il est certes exact qu'à ce stade, le recours au fond n'apparaît pas totalement dépourvu de chances de succès, on ne peut admettre qu'une réduction de peine serait en l'état certaine, ni même très probable. En définitive, compte tenu notamment des antécédents de l'intéressé, la durée de la détention préventive déjà subie, de 17 mois au moment où la décision attaquée a été rendue, est encore compatible avec la peine privative de liberté à laquelle l'inculpé est exposé concrètement en cas de condamnation, de sorte que la Cour d'appel pénal a, en l'état, correctement nié une violation du principe de la proportionnalité. Ce d'autant plus qu'il n'apparaît pas que cette détention pour des motifs de sûreté doive se prolonger au-delà de la durée admissible, dans la mesure où la date de l'audience d'appel a été fixée au 30 mai 2011.</w:t>
      </w:r>
    </w:p>
    <w:p>
      <w:r>
        <w:rPr>
          <w:b/>
        </w:rPr>
        <w:t>E. 4</w:t>
      </w:r>
    </w:p>
    <w:p>
      <w:r>
        <w:t>Invoquant les dispositions constitutionnelles et conventionnelles relatives à la liberté personnelle, le recourant conteste l'existence de risques de récidive et de fuite. Au sujet du premier, il prétend que, s'"il n'a pas pris toute la mesure du jugement du 23 juin 2008 et n'en a pas tiré les leçons que l'on était en droit d'attendre, on peut penser que cette nouvelle incarcération [l'] amènera à éviter tout comportement répréhensible". Il relève en outre qu'il nuirait à sa démarche d'appel s'il commettait une nouvelle infraction entre sa mise en liberté et le jugement d'appel.</w:t>
      </w:r>
    </w:p>
    <w:p>
      <w:r>
        <w:rPr>
          <w:b/>
        </w:rPr>
        <w:t>E. 4.1</w:t>
      </w:r>
    </w:p>
    <w:p>
      <w:r>
        <w:t>L' art. 31 al. 1 Cst. précise que "nul ne peut être privé de sa liberté si ce n'est dans les cas prévus par la loi et selon les formes qu'elle prescrit". L' art. 5 par. 1 CEDH est de teneur analogue; il prévoit expressément la mise en détention préventive d'une personne lorsqu'il y a "des motifs raisonnables de croire à la nécessité de l'empêcher de commettre une infraction". L' art. 221 al. 1 let . c CPP prévoit que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w:t>
      </w:r>
    </w:p>
    <w:p>
      <w:r>
        <w:rPr>
          <w:b/>
        </w:rPr>
        <w:t>E. 4.2</w:t>
      </w:r>
    </w:p>
    <w:p>
      <w:r>
        <w:t>En l'occurrence, les antécédents du recourant constituent un indice important au sujet du risque de réitération. Il a été condamné, le 23 juin 2008, à une peine privative de liberté de 36 mois, dont 26 mois avec sursis pendant un délai d'épreuve de 5 ans, notamment pour crime et infraction à la LStup. Cette condamnation et ce précédent séjour en prison n'ont pas empêché le prénommé de commettre de nouvelles infractions de même nature que celles qui lui ont valu d'être placé en détention préventive en 2007. De plus, les faits qui lui sont actuellement reprochés et qui ont été retenus dans le jugement du 17 juin 2010, auraient été commis peu après le jugement du 23 juin 2008. L'ensemble de ces éléments apparaît suffisant pour retenir un risque concret de réitération. L'arrêt attaqué ne prête pas le flanc à la critique sur ce point.</w:t>
      </w:r>
    </w:p>
    <w:p>
      <w:r>
        <w:rPr>
          <w:b/>
        </w:rPr>
        <w:t>E. 4.3</w:t>
      </w:r>
    </w:p>
    <w:p>
      <w:r>
        <w:t>L'affirmation d'un risque de réitération dispense d'examiner s'il existe aussi un risque de fuite, au sens de l' art. 221 al. 1 let. a CPP .</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Philippe Leuba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